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536DF" w14:textId="77777777" w:rsidR="00D647D8" w:rsidRDefault="00BC27F9">
      <w:pPr>
        <w:spacing w:after="0" w:line="259" w:lineRule="auto"/>
        <w:ind w:left="86"/>
        <w:jc w:val="center"/>
      </w:pPr>
      <w:r>
        <w:rPr>
          <w:rFonts w:ascii="Cambria" w:eastAsia="Cambria" w:hAnsi="Cambria" w:cs="Cambria"/>
          <w:color w:val="365F91"/>
          <w:sz w:val="36"/>
        </w:rPr>
        <w:t xml:space="preserve">WIOA Title II </w:t>
      </w:r>
    </w:p>
    <w:p w14:paraId="1A06D990" w14:textId="77777777" w:rsidR="00D647D8" w:rsidRDefault="00BC27F9">
      <w:pPr>
        <w:spacing w:after="0" w:line="259" w:lineRule="auto"/>
        <w:ind w:left="86" w:right="59"/>
        <w:jc w:val="center"/>
      </w:pPr>
      <w:r>
        <w:rPr>
          <w:rFonts w:ascii="Cambria" w:eastAsia="Cambria" w:hAnsi="Cambria" w:cs="Cambria"/>
          <w:color w:val="365F91"/>
          <w:sz w:val="36"/>
        </w:rPr>
        <w:t xml:space="preserve">Adult Education and Family Literacy Act </w:t>
      </w:r>
    </w:p>
    <w:p w14:paraId="13D526E8" w14:textId="4B16861D" w:rsidR="00D647D8" w:rsidRDefault="00BC27F9">
      <w:pPr>
        <w:spacing w:after="0" w:line="259" w:lineRule="auto"/>
        <w:ind w:left="86" w:right="61"/>
        <w:jc w:val="center"/>
      </w:pPr>
      <w:r w:rsidRPr="67AF8777">
        <w:rPr>
          <w:rFonts w:ascii="Cambria" w:eastAsia="Cambria" w:hAnsi="Cambria" w:cs="Cambria"/>
          <w:color w:val="365F91"/>
          <w:sz w:val="36"/>
          <w:szCs w:val="36"/>
        </w:rPr>
        <w:t>Idaho FY2</w:t>
      </w:r>
      <w:r w:rsidR="72A0757B" w:rsidRPr="67AF8777">
        <w:rPr>
          <w:rFonts w:ascii="Cambria" w:eastAsia="Cambria" w:hAnsi="Cambria" w:cs="Cambria"/>
          <w:color w:val="365F91"/>
          <w:sz w:val="36"/>
          <w:szCs w:val="36"/>
        </w:rPr>
        <w:t>7</w:t>
      </w:r>
      <w:r w:rsidRPr="67AF8777">
        <w:rPr>
          <w:rFonts w:ascii="Cambria" w:eastAsia="Cambria" w:hAnsi="Cambria" w:cs="Cambria"/>
          <w:color w:val="365F91"/>
          <w:sz w:val="36"/>
          <w:szCs w:val="36"/>
        </w:rPr>
        <w:t xml:space="preserve"> Grant Renewal Application </w:t>
      </w:r>
    </w:p>
    <w:p w14:paraId="73425198" w14:textId="77777777" w:rsidR="00D647D8" w:rsidRDefault="00BC27F9">
      <w:pPr>
        <w:pStyle w:val="Heading1"/>
      </w:pPr>
      <w:r>
        <w:t>Instructions</w:t>
      </w:r>
      <w:r>
        <w:rPr>
          <w:sz w:val="40"/>
        </w:rPr>
        <w:t xml:space="preserve"> </w:t>
      </w:r>
    </w:p>
    <w:p w14:paraId="524120B7" w14:textId="2DB69963" w:rsidR="00D647D8" w:rsidRDefault="00BC27F9">
      <w:pPr>
        <w:spacing w:after="430"/>
        <w:ind w:left="12"/>
        <w:jc w:val="both"/>
      </w:pPr>
      <w:r w:rsidRPr="2DDC4E6B">
        <w:rPr>
          <w:sz w:val="24"/>
        </w:rPr>
        <w:t xml:space="preserve">Application for State and Federal Funds under Title II of the Workforce Innovation and Opportunity Act of 2014 for the period of July 1, </w:t>
      </w:r>
      <w:r w:rsidR="6AEF9EA9" w:rsidRPr="2DDC4E6B">
        <w:rPr>
          <w:sz w:val="24"/>
        </w:rPr>
        <w:t>2026,</w:t>
      </w:r>
      <w:r w:rsidR="6C6CB993" w:rsidRPr="2DDC4E6B">
        <w:rPr>
          <w:sz w:val="24"/>
        </w:rPr>
        <w:t xml:space="preserve"> </w:t>
      </w:r>
      <w:r w:rsidRPr="2DDC4E6B">
        <w:rPr>
          <w:sz w:val="24"/>
        </w:rPr>
        <w:t>to June 30, 202</w:t>
      </w:r>
      <w:r w:rsidR="6B058834" w:rsidRPr="2DDC4E6B">
        <w:rPr>
          <w:sz w:val="24"/>
        </w:rPr>
        <w:t>7</w:t>
      </w:r>
      <w:r w:rsidRPr="2DDC4E6B">
        <w:rPr>
          <w:sz w:val="24"/>
        </w:rPr>
        <w:t xml:space="preserve">. This application serves as an extension of programs previously funded under WIOA Program Year 2020-2021. </w:t>
      </w:r>
    </w:p>
    <w:p w14:paraId="2790E6EC" w14:textId="77777777" w:rsidR="00D647D8" w:rsidRDefault="00BC27F9">
      <w:pPr>
        <w:pStyle w:val="Heading2"/>
        <w:spacing w:after="62"/>
        <w:ind w:left="12"/>
      </w:pPr>
      <w:r>
        <w:t xml:space="preserve">Submission Instructions </w:t>
      </w:r>
    </w:p>
    <w:p w14:paraId="7CF7A86C" w14:textId="77777777" w:rsidR="00D647D8" w:rsidRDefault="00BC27F9">
      <w:pPr>
        <w:ind w:left="12" w:right="13"/>
      </w:pPr>
      <w:r>
        <w:t xml:space="preserve">Application dates: </w:t>
      </w:r>
    </w:p>
    <w:tbl>
      <w:tblPr>
        <w:tblStyle w:val="TableGrid"/>
        <w:tblW w:w="9361" w:type="dxa"/>
        <w:tblInd w:w="17" w:type="dxa"/>
        <w:tblCellMar>
          <w:top w:w="47" w:type="dxa"/>
          <w:right w:w="115" w:type="dxa"/>
        </w:tblCellMar>
        <w:tblLook w:val="04A0" w:firstRow="1" w:lastRow="0" w:firstColumn="1" w:lastColumn="0" w:noHBand="0" w:noVBand="1"/>
      </w:tblPr>
      <w:tblGrid>
        <w:gridCol w:w="1793"/>
        <w:gridCol w:w="7568"/>
      </w:tblGrid>
      <w:tr w:rsidR="00D647D8" w14:paraId="76D9E80F" w14:textId="77777777" w:rsidTr="21F7987A">
        <w:trPr>
          <w:trHeight w:val="405"/>
        </w:trPr>
        <w:tc>
          <w:tcPr>
            <w:tcW w:w="1793" w:type="dxa"/>
            <w:tcBorders>
              <w:top w:val="nil"/>
              <w:left w:val="nil"/>
              <w:bottom w:val="nil"/>
              <w:right w:val="nil"/>
            </w:tcBorders>
            <w:shd w:val="clear" w:color="auto" w:fill="DAE9F7" w:themeFill="text2" w:themeFillTint="1A"/>
          </w:tcPr>
          <w:p w14:paraId="44053C62" w14:textId="4DD03D1C" w:rsidR="00D647D8" w:rsidRDefault="2B4BB842">
            <w:pPr>
              <w:tabs>
                <w:tab w:val="center" w:pos="1201"/>
              </w:tabs>
              <w:spacing w:after="0" w:line="259" w:lineRule="auto"/>
              <w:ind w:left="0" w:firstLine="0"/>
            </w:pPr>
            <w:r>
              <w:t xml:space="preserve"> </w:t>
            </w:r>
            <w:r w:rsidR="00BC27F9">
              <w:t xml:space="preserve">May </w:t>
            </w:r>
            <w:r w:rsidR="66152363">
              <w:t>13</w:t>
            </w:r>
            <w:r w:rsidR="73465AE8">
              <w:t xml:space="preserve">, </w:t>
            </w:r>
            <w:r w:rsidR="00BC27F9">
              <w:t>202</w:t>
            </w:r>
            <w:r w:rsidR="1C420B84">
              <w:t>6</w:t>
            </w:r>
          </w:p>
        </w:tc>
        <w:tc>
          <w:tcPr>
            <w:tcW w:w="7569" w:type="dxa"/>
            <w:tcBorders>
              <w:top w:val="nil"/>
              <w:left w:val="nil"/>
              <w:bottom w:val="nil"/>
              <w:right w:val="nil"/>
            </w:tcBorders>
            <w:shd w:val="clear" w:color="auto" w:fill="DAE9F7" w:themeFill="text2" w:themeFillTint="1A"/>
          </w:tcPr>
          <w:p w14:paraId="1294F078" w14:textId="1123FAFF" w:rsidR="00D647D8" w:rsidRDefault="00BC27F9">
            <w:pPr>
              <w:spacing w:after="0" w:line="259" w:lineRule="auto"/>
              <w:ind w:left="0" w:firstLine="0"/>
            </w:pPr>
            <w:r>
              <w:t xml:space="preserve">Grantee continuation application released </w:t>
            </w:r>
          </w:p>
        </w:tc>
      </w:tr>
      <w:tr w:rsidR="00BD731C" w14:paraId="66E66014" w14:textId="77777777" w:rsidTr="004D3980">
        <w:trPr>
          <w:trHeight w:val="248"/>
        </w:trPr>
        <w:tc>
          <w:tcPr>
            <w:tcW w:w="1793" w:type="dxa"/>
            <w:tcBorders>
              <w:top w:val="nil"/>
              <w:left w:val="nil"/>
              <w:bottom w:val="nil"/>
              <w:right w:val="nil"/>
            </w:tcBorders>
            <w:shd w:val="clear" w:color="auto" w:fill="FFFFFF" w:themeFill="background1"/>
          </w:tcPr>
          <w:p w14:paraId="6F73C052" w14:textId="4300C998" w:rsidR="00BD731C" w:rsidRPr="009459A0" w:rsidRDefault="009459A0">
            <w:pPr>
              <w:tabs>
                <w:tab w:val="center" w:pos="1201"/>
              </w:tabs>
              <w:spacing w:after="0" w:line="259" w:lineRule="auto"/>
              <w:ind w:left="0" w:firstLine="0"/>
              <w:rPr>
                <w:color w:val="auto"/>
              </w:rPr>
            </w:pPr>
            <w:r w:rsidRPr="009459A0">
              <w:rPr>
                <w:color w:val="auto"/>
              </w:rPr>
              <w:t xml:space="preserve"> June</w:t>
            </w:r>
            <w:r>
              <w:rPr>
                <w:color w:val="auto"/>
              </w:rPr>
              <w:t xml:space="preserve"> 2, 2026          </w:t>
            </w:r>
          </w:p>
        </w:tc>
        <w:tc>
          <w:tcPr>
            <w:tcW w:w="7569" w:type="dxa"/>
            <w:tcBorders>
              <w:top w:val="nil"/>
              <w:left w:val="nil"/>
              <w:bottom w:val="nil"/>
              <w:right w:val="nil"/>
            </w:tcBorders>
            <w:shd w:val="clear" w:color="auto" w:fill="FFFFFF" w:themeFill="background1"/>
          </w:tcPr>
          <w:p w14:paraId="46A5EF9E" w14:textId="63050835" w:rsidR="00BD731C" w:rsidRPr="009459A0" w:rsidRDefault="009459A0">
            <w:pPr>
              <w:spacing w:after="0" w:line="259" w:lineRule="auto"/>
              <w:ind w:left="0" w:firstLine="0"/>
              <w:rPr>
                <w:color w:val="auto"/>
              </w:rPr>
            </w:pPr>
            <w:r>
              <w:rPr>
                <w:color w:val="auto"/>
              </w:rPr>
              <w:t>Continuing application webinar (10 am Mountain)</w:t>
            </w:r>
          </w:p>
        </w:tc>
      </w:tr>
      <w:tr w:rsidR="00D647D8" w14:paraId="243B060F" w14:textId="77777777" w:rsidTr="009459A0">
        <w:trPr>
          <w:trHeight w:val="250"/>
        </w:trPr>
        <w:tc>
          <w:tcPr>
            <w:tcW w:w="1793" w:type="dxa"/>
            <w:tcBorders>
              <w:top w:val="nil"/>
              <w:left w:val="nil"/>
              <w:bottom w:val="nil"/>
              <w:right w:val="nil"/>
            </w:tcBorders>
            <w:shd w:val="clear" w:color="auto" w:fill="DAE9F7" w:themeFill="text2" w:themeFillTint="1A"/>
          </w:tcPr>
          <w:p w14:paraId="6425729A" w14:textId="1905C366" w:rsidR="00D647D8" w:rsidRDefault="2A60FD09" w:rsidP="21F7987A">
            <w:pPr>
              <w:spacing w:after="0" w:line="259" w:lineRule="auto"/>
              <w:ind w:left="0" w:firstLine="0"/>
            </w:pPr>
            <w:r>
              <w:t xml:space="preserve"> </w:t>
            </w:r>
            <w:r w:rsidR="00BC27F9">
              <w:t>June 15, 202</w:t>
            </w:r>
            <w:r w:rsidR="08F4B036">
              <w:t>6</w:t>
            </w:r>
          </w:p>
        </w:tc>
        <w:tc>
          <w:tcPr>
            <w:tcW w:w="7569" w:type="dxa"/>
            <w:tcBorders>
              <w:top w:val="nil"/>
              <w:left w:val="nil"/>
              <w:bottom w:val="nil"/>
              <w:right w:val="nil"/>
            </w:tcBorders>
            <w:shd w:val="clear" w:color="auto" w:fill="DAE9F7" w:themeFill="text2" w:themeFillTint="1A"/>
          </w:tcPr>
          <w:p w14:paraId="0BAA6D98" w14:textId="34523B69" w:rsidR="00D647D8" w:rsidRDefault="00BC27F9">
            <w:pPr>
              <w:spacing w:after="0" w:line="259" w:lineRule="auto"/>
              <w:ind w:left="0" w:firstLine="0"/>
            </w:pPr>
            <w:r>
              <w:t>Grantee submits continu</w:t>
            </w:r>
            <w:r w:rsidR="004D3980">
              <w:t>ing</w:t>
            </w:r>
            <w:r>
              <w:t xml:space="preserve"> application</w:t>
            </w:r>
            <w:r w:rsidR="00C56DC9">
              <w:t xml:space="preserve"> and proposed budget</w:t>
            </w:r>
            <w:r>
              <w:t xml:space="preserve"> to ShareFile </w:t>
            </w:r>
          </w:p>
        </w:tc>
      </w:tr>
      <w:tr w:rsidR="00D647D8" w14:paraId="6E2CA92C" w14:textId="77777777" w:rsidTr="009459A0">
        <w:trPr>
          <w:trHeight w:val="250"/>
        </w:trPr>
        <w:tc>
          <w:tcPr>
            <w:tcW w:w="1793" w:type="dxa"/>
            <w:tcBorders>
              <w:top w:val="nil"/>
              <w:left w:val="nil"/>
              <w:bottom w:val="nil"/>
              <w:right w:val="nil"/>
            </w:tcBorders>
            <w:shd w:val="clear" w:color="auto" w:fill="FFFFFF" w:themeFill="background1"/>
          </w:tcPr>
          <w:p w14:paraId="07643CE1" w14:textId="0D25D389" w:rsidR="00D647D8" w:rsidRDefault="004D3980" w:rsidP="004D3980">
            <w:pPr>
              <w:spacing w:after="0" w:line="259" w:lineRule="auto"/>
            </w:pPr>
            <w:r>
              <w:t xml:space="preserve"> </w:t>
            </w:r>
            <w:r w:rsidR="00BC27F9">
              <w:t>June 29, 202</w:t>
            </w:r>
            <w:r w:rsidR="446CC50C">
              <w:t>6</w:t>
            </w:r>
          </w:p>
        </w:tc>
        <w:tc>
          <w:tcPr>
            <w:tcW w:w="7569" w:type="dxa"/>
            <w:tcBorders>
              <w:top w:val="nil"/>
              <w:left w:val="nil"/>
              <w:bottom w:val="nil"/>
              <w:right w:val="nil"/>
            </w:tcBorders>
            <w:shd w:val="clear" w:color="auto" w:fill="FFFFFF" w:themeFill="background1"/>
          </w:tcPr>
          <w:p w14:paraId="2B802588" w14:textId="2CF256EF" w:rsidR="00D647D8" w:rsidRDefault="00BC27F9">
            <w:pPr>
              <w:spacing w:after="0" w:line="259" w:lineRule="auto"/>
              <w:ind w:left="0" w:firstLine="0"/>
            </w:pPr>
            <w:r>
              <w:t xml:space="preserve">State </w:t>
            </w:r>
            <w:r w:rsidR="004D3980">
              <w:t xml:space="preserve">office </w:t>
            </w:r>
            <w:r>
              <w:t xml:space="preserve">notifies grantees, via email, of required edits </w:t>
            </w:r>
          </w:p>
        </w:tc>
      </w:tr>
      <w:tr w:rsidR="00D647D8" w14:paraId="4854D863" w14:textId="77777777" w:rsidTr="00914797">
        <w:trPr>
          <w:trHeight w:val="250"/>
        </w:trPr>
        <w:tc>
          <w:tcPr>
            <w:tcW w:w="1793" w:type="dxa"/>
            <w:tcBorders>
              <w:top w:val="nil"/>
              <w:left w:val="nil"/>
              <w:bottom w:val="nil"/>
              <w:right w:val="nil"/>
            </w:tcBorders>
            <w:shd w:val="clear" w:color="auto" w:fill="DAE9F7" w:themeFill="text2" w:themeFillTint="1A"/>
          </w:tcPr>
          <w:p w14:paraId="4262E3DC" w14:textId="62581FC9" w:rsidR="00D647D8" w:rsidRDefault="00BC27F9">
            <w:pPr>
              <w:spacing w:after="0" w:line="259" w:lineRule="auto"/>
              <w:ind w:left="108" w:firstLine="0"/>
            </w:pPr>
            <w:r>
              <w:t>June 30, 202</w:t>
            </w:r>
            <w:r w:rsidR="08BFBEDE">
              <w:t>6</w:t>
            </w:r>
          </w:p>
        </w:tc>
        <w:tc>
          <w:tcPr>
            <w:tcW w:w="7569" w:type="dxa"/>
            <w:tcBorders>
              <w:top w:val="nil"/>
              <w:left w:val="nil"/>
              <w:bottom w:val="nil"/>
              <w:right w:val="nil"/>
            </w:tcBorders>
            <w:shd w:val="clear" w:color="auto" w:fill="DAE9F7" w:themeFill="text2" w:themeFillTint="1A"/>
          </w:tcPr>
          <w:p w14:paraId="66CC57E5" w14:textId="77777777" w:rsidR="00D647D8" w:rsidRDefault="00BC27F9">
            <w:pPr>
              <w:spacing w:after="0" w:line="259" w:lineRule="auto"/>
              <w:ind w:left="0" w:firstLine="0"/>
            </w:pPr>
            <w:r>
              <w:t xml:space="preserve">Grantee submits application edits to ShareFile </w:t>
            </w:r>
          </w:p>
        </w:tc>
      </w:tr>
    </w:tbl>
    <w:p w14:paraId="79FE32E4" w14:textId="77777777" w:rsidR="00D647D8" w:rsidRDefault="00BC27F9">
      <w:pPr>
        <w:spacing w:after="109"/>
        <w:ind w:left="12" w:right="13"/>
      </w:pPr>
      <w:r w:rsidRPr="21F7987A">
        <w:rPr>
          <w:b/>
          <w:bCs/>
        </w:rPr>
        <w:t>Document Submission Checklist</w:t>
      </w:r>
      <w:r>
        <w:t xml:space="preserve">: </w:t>
      </w:r>
    </w:p>
    <w:p w14:paraId="27F3485F" w14:textId="77777777" w:rsidR="00D647D8" w:rsidRDefault="00BC27F9">
      <w:pPr>
        <w:spacing w:after="322" w:line="239" w:lineRule="auto"/>
        <w:ind w:left="0" w:right="672" w:firstLine="0"/>
        <w:jc w:val="both"/>
      </w:pPr>
      <w:r>
        <w:t xml:space="preserve">Applications will be submitted electronically to ShareFile. For questions related to submission, please email </w:t>
      </w:r>
      <w:r>
        <w:rPr>
          <w:color w:val="0000FF"/>
          <w:u w:val="single" w:color="0000FF"/>
        </w:rPr>
        <w:t>christine.hagedornreilly@cte.idaho.gov</w:t>
      </w:r>
      <w:r>
        <w:t xml:space="preserve">. A separate application packet must be submitted for each grant (Section 225, Section 231, and Section 243). Please upload each application document separately. Applications must include the following documents: </w:t>
      </w:r>
    </w:p>
    <w:p w14:paraId="3B2C1B96" w14:textId="77777777" w:rsidR="00D647D8" w:rsidRDefault="00BC27F9">
      <w:pPr>
        <w:numPr>
          <w:ilvl w:val="0"/>
          <w:numId w:val="1"/>
        </w:numPr>
        <w:spacing w:after="149"/>
        <w:ind w:right="13" w:hanging="360"/>
      </w:pPr>
      <w:r>
        <w:t xml:space="preserve">Grant Renewal Application Cover Document (separate cover document for 231, 225, 243) </w:t>
      </w:r>
    </w:p>
    <w:p w14:paraId="262B1060" w14:textId="77777777" w:rsidR="00D647D8" w:rsidRDefault="00BC27F9">
      <w:pPr>
        <w:numPr>
          <w:ilvl w:val="0"/>
          <w:numId w:val="1"/>
        </w:numPr>
        <w:spacing w:after="143" w:line="357" w:lineRule="auto"/>
        <w:ind w:right="13" w:hanging="360"/>
      </w:pPr>
      <w:r>
        <w:t>Grant Renewal Application Narrative (separate Narrative documents for 231, 225, and 243)</w:t>
      </w:r>
    </w:p>
    <w:p w14:paraId="5D200645" w14:textId="77777777" w:rsidR="00D647D8" w:rsidRDefault="00BC27F9">
      <w:pPr>
        <w:numPr>
          <w:ilvl w:val="0"/>
          <w:numId w:val="1"/>
        </w:numPr>
        <w:spacing w:line="362" w:lineRule="auto"/>
        <w:ind w:right="13" w:hanging="360"/>
      </w:pPr>
      <w:r>
        <w:t xml:space="preserve">Grant Renewal Application Budget Proposal (separate budget proposals for 231, 225, and 243) </w:t>
      </w:r>
    </w:p>
    <w:p w14:paraId="309D6547" w14:textId="77777777" w:rsidR="00D647D8" w:rsidRDefault="00BC27F9">
      <w:pPr>
        <w:numPr>
          <w:ilvl w:val="0"/>
          <w:numId w:val="1"/>
        </w:numPr>
        <w:spacing w:after="45"/>
        <w:ind w:right="13" w:hanging="360"/>
      </w:pPr>
      <w:r>
        <w:t xml:space="preserve">Grant Renewal Application Assurances </w:t>
      </w:r>
    </w:p>
    <w:p w14:paraId="214310F6" w14:textId="75997127" w:rsidR="00D647D8" w:rsidRDefault="00BC27F9">
      <w:pPr>
        <w:numPr>
          <w:ilvl w:val="0"/>
          <w:numId w:val="1"/>
        </w:numPr>
        <w:spacing w:after="44"/>
        <w:ind w:right="13" w:hanging="360"/>
      </w:pPr>
      <w:r>
        <w:t>Renewing grantee’s FY 202</w:t>
      </w:r>
      <w:r w:rsidR="739C2A20">
        <w:t>6</w:t>
      </w:r>
      <w:r>
        <w:t>-202</w:t>
      </w:r>
      <w:r w:rsidR="600E132A">
        <w:t>7</w:t>
      </w:r>
      <w:r>
        <w:t xml:space="preserve"> Intake Form</w:t>
      </w:r>
    </w:p>
    <w:p w14:paraId="24EE81BD" w14:textId="77777777" w:rsidR="00D647D8" w:rsidRDefault="00BC27F9">
      <w:pPr>
        <w:numPr>
          <w:ilvl w:val="0"/>
          <w:numId w:val="1"/>
        </w:numPr>
        <w:spacing w:after="44"/>
        <w:ind w:right="13" w:hanging="360"/>
      </w:pPr>
      <w:r>
        <w:t xml:space="preserve">Renewing grantee’s new or updated MOUs  </w:t>
      </w:r>
    </w:p>
    <w:p w14:paraId="6CF3F75D" w14:textId="391D65B2" w:rsidR="00D647D8" w:rsidRDefault="00BC27F9">
      <w:pPr>
        <w:numPr>
          <w:ilvl w:val="0"/>
          <w:numId w:val="1"/>
        </w:numPr>
        <w:spacing w:after="476"/>
        <w:ind w:right="13" w:hanging="360"/>
      </w:pPr>
      <w:r>
        <w:t>Renewing grantee’s FY2</w:t>
      </w:r>
      <w:r w:rsidR="49261A0B">
        <w:t>6</w:t>
      </w:r>
      <w:r>
        <w:t xml:space="preserve"> Table 4 </w:t>
      </w:r>
      <w:r w:rsidR="40F5BA7B">
        <w:t xml:space="preserve">    </w:t>
      </w:r>
      <w:r w:rsidRPr="21F7987A">
        <w:rPr>
          <w:rFonts w:ascii="Wingdings 2" w:eastAsia="Wingdings 2" w:hAnsi="Wingdings 2" w:cs="Wingdings 2"/>
        </w:rPr>
        <w:t></w:t>
      </w:r>
      <w:r w:rsidRPr="21F7987A">
        <w:rPr>
          <w:rFonts w:ascii="Arial" w:eastAsia="Arial" w:hAnsi="Arial" w:cs="Arial"/>
        </w:rPr>
        <w:t xml:space="preserve"> </w:t>
      </w:r>
      <w:r>
        <w:t>Renewing grantee’s FY2</w:t>
      </w:r>
      <w:r w:rsidR="3957FB53">
        <w:t>6</w:t>
      </w:r>
      <w:r>
        <w:t xml:space="preserve"> Table 5</w:t>
      </w:r>
    </w:p>
    <w:p w14:paraId="6665A477" w14:textId="77777777" w:rsidR="00D647D8" w:rsidRDefault="00BC27F9">
      <w:pPr>
        <w:pStyle w:val="Heading2"/>
        <w:spacing w:after="62"/>
        <w:ind w:left="12"/>
      </w:pPr>
      <w:r>
        <w:t xml:space="preserve">Introduction </w:t>
      </w:r>
    </w:p>
    <w:p w14:paraId="646368D5" w14:textId="77777777" w:rsidR="00D647D8" w:rsidRDefault="00BC27F9">
      <w:pPr>
        <w:spacing w:after="649"/>
        <w:ind w:left="12" w:right="118"/>
      </w:pPr>
      <w:r>
        <w:t xml:space="preserve">Idaho Division of Career Technical Education is accepting grant renewal applications for funding made available by the Workforce Innovation and Opportunity Act (WIOA) of 2014, Adult Education and Family Literacy Act (AEFLA). The grant funds will be made available to local eligible providers for the purpose of offering Adult Education services, as described in the WIOA statute. Guidelines contained in this grant renewal packet are based on Idaho’s Combined State Plan for WIOA. Should </w:t>
      </w:r>
    </w:p>
    <w:p w14:paraId="54B99A08" w14:textId="77777777" w:rsidR="00D647D8" w:rsidRDefault="00BC27F9">
      <w:pPr>
        <w:spacing w:after="0" w:line="259" w:lineRule="auto"/>
        <w:ind w:left="7622" w:firstLine="0"/>
      </w:pPr>
      <w:r>
        <w:rPr>
          <w:rFonts w:ascii="Cambria" w:eastAsia="Cambria" w:hAnsi="Cambria" w:cs="Cambria"/>
        </w:rPr>
        <w:t xml:space="preserve"> of </w:t>
      </w:r>
    </w:p>
    <w:p w14:paraId="6F56F8E6" w14:textId="706D6923" w:rsidR="00D647D8" w:rsidRDefault="00BC27F9">
      <w:pPr>
        <w:spacing w:after="241"/>
        <w:ind w:left="12" w:right="13"/>
      </w:pPr>
      <w:r>
        <w:lastRenderedPageBreak/>
        <w:t xml:space="preserve">changes in the Federal regulations become effective during the grant </w:t>
      </w:r>
      <w:r w:rsidR="2E0241CF">
        <w:t>period;</w:t>
      </w:r>
      <w:r>
        <w:t xml:space="preserve"> it may become necessary to modify these guidelines.  </w:t>
      </w:r>
    </w:p>
    <w:p w14:paraId="76978125" w14:textId="77777777" w:rsidR="00D647D8" w:rsidRDefault="00BC27F9">
      <w:pPr>
        <w:spacing w:after="240"/>
        <w:ind w:left="12"/>
      </w:pPr>
      <w:r>
        <w:t xml:space="preserve">Use this for the Sec. 231 </w:t>
      </w:r>
      <w:r>
        <w:rPr>
          <w:i/>
        </w:rPr>
        <w:t xml:space="preserve">Regional Adult Education and Literacy Programs, Sec. 243 Integrated English Literacy and Civics Education, and Sec. 225 Adult Education for Institutionalized Individuals. </w:t>
      </w:r>
    </w:p>
    <w:p w14:paraId="2D42505E" w14:textId="142388A5" w:rsidR="00D647D8" w:rsidRDefault="00BC27F9">
      <w:pPr>
        <w:spacing w:after="242"/>
        <w:ind w:left="12" w:right="13"/>
      </w:pPr>
      <w:r>
        <w:t xml:space="preserve">The expenditure period for this grant will be July 1, </w:t>
      </w:r>
      <w:r w:rsidR="3F4BB2ED">
        <w:t>2026,</w:t>
      </w:r>
      <w:r w:rsidR="3212009F">
        <w:t xml:space="preserve"> </w:t>
      </w:r>
      <w:r>
        <w:t>through June 30, 202</w:t>
      </w:r>
      <w:r w:rsidR="22A90D02">
        <w:t>7</w:t>
      </w:r>
      <w:r>
        <w:t>. After this period, applicants</w:t>
      </w:r>
      <w:r w:rsidR="7D9AB01B">
        <w:t xml:space="preserve"> will be</w:t>
      </w:r>
      <w:r>
        <w:t xml:space="preserve"> required to re-compete</w:t>
      </w:r>
      <w:r w:rsidR="781528EF">
        <w:t>.</w:t>
      </w:r>
      <w:r>
        <w:t xml:space="preserve"> All applicants selected to receive funds under this competition will be subject to a final negotiation process with the Division prior to receiving awards. Areas subject to negotiation include the final approved budget(s), performance targets (where appropriate), professional development plans, and other areas that may require additional technical assistance or clarification.  </w:t>
      </w:r>
    </w:p>
    <w:p w14:paraId="6411FD96" w14:textId="07A6D451" w:rsidR="00D647D8" w:rsidRDefault="00BC27F9">
      <w:pPr>
        <w:spacing w:after="239"/>
        <w:ind w:left="12" w:right="13"/>
      </w:pPr>
      <w:r>
        <w:t xml:space="preserve">As one of six core programs under WIOA, the Adult Education and Family Literacy Act (AEFLA) program plays an integral role in the workforce development system by providing access to educational services for adult learners. The program seeks to increase </w:t>
      </w:r>
      <w:r w:rsidR="4E5F3210">
        <w:t>opportunities</w:t>
      </w:r>
      <w:r>
        <w:t xml:space="preserve"> in the educational and workforce development of adults as workers, parents, and citizens. While playing a critical role in adult attainment of a secondary school diploma, the program also aims to assist in the transition to postsecondary education and training through career pathways. </w:t>
      </w:r>
    </w:p>
    <w:p w14:paraId="213A62B9" w14:textId="77777777" w:rsidR="00D647D8" w:rsidRDefault="00BC27F9">
      <w:pPr>
        <w:ind w:left="12" w:right="13"/>
      </w:pPr>
      <w:r>
        <w:t xml:space="preserve">As the eligible agency to receive WIOA Title II (AEFLA) funds in Idaho, the Division of Career Technical Education requires that each eligible provider support programs and services only to eligible individuals who meet the following criteria: </w:t>
      </w:r>
    </w:p>
    <w:p w14:paraId="57EA1704" w14:textId="77777777" w:rsidR="00D647D8" w:rsidRDefault="00BC27F9">
      <w:pPr>
        <w:numPr>
          <w:ilvl w:val="0"/>
          <w:numId w:val="2"/>
        </w:numPr>
        <w:ind w:right="13" w:hanging="360"/>
      </w:pPr>
      <w:r>
        <w:t>Have attained 16 years of age;</w:t>
      </w:r>
    </w:p>
    <w:p w14:paraId="4A81DD0D" w14:textId="77777777" w:rsidR="00D647D8" w:rsidRDefault="00BC27F9">
      <w:pPr>
        <w:numPr>
          <w:ilvl w:val="0"/>
          <w:numId w:val="2"/>
        </w:numPr>
        <w:ind w:right="13" w:hanging="360"/>
      </w:pPr>
      <w:r>
        <w:t>Are not enrolled or required to be enrolled in secondary school under State law; and</w:t>
      </w:r>
    </w:p>
    <w:p w14:paraId="730A2B70" w14:textId="77777777" w:rsidR="00D647D8" w:rsidRDefault="00BC27F9">
      <w:pPr>
        <w:numPr>
          <w:ilvl w:val="0"/>
          <w:numId w:val="2"/>
        </w:numPr>
        <w:ind w:right="13" w:hanging="360"/>
      </w:pPr>
      <w:r>
        <w:t>Are —</w:t>
      </w:r>
    </w:p>
    <w:p w14:paraId="68316138" w14:textId="77777777" w:rsidR="00D647D8" w:rsidRDefault="00BC27F9">
      <w:pPr>
        <w:numPr>
          <w:ilvl w:val="1"/>
          <w:numId w:val="2"/>
        </w:numPr>
        <w:ind w:right="13" w:hanging="363"/>
      </w:pPr>
      <w:r>
        <w:t>Basic skills deficient;</w:t>
      </w:r>
    </w:p>
    <w:p w14:paraId="496B9329" w14:textId="77777777" w:rsidR="00D647D8" w:rsidRDefault="00BC27F9">
      <w:pPr>
        <w:numPr>
          <w:ilvl w:val="1"/>
          <w:numId w:val="2"/>
        </w:numPr>
        <w:ind w:right="13" w:hanging="363"/>
      </w:pPr>
      <w:r>
        <w:t>Do not have a secondary school diploma or its recognized equivalent, and have not achieved an equivalent level of education; or</w:t>
      </w:r>
    </w:p>
    <w:p w14:paraId="3EF9625D" w14:textId="77777777" w:rsidR="00D647D8" w:rsidRDefault="00BC27F9">
      <w:pPr>
        <w:numPr>
          <w:ilvl w:val="1"/>
          <w:numId w:val="2"/>
        </w:numPr>
        <w:spacing w:after="244"/>
        <w:ind w:right="13" w:hanging="363"/>
      </w:pPr>
      <w:r>
        <w:t>Are English language learners.</w:t>
      </w:r>
    </w:p>
    <w:p w14:paraId="003F54CB" w14:textId="77777777" w:rsidR="00D647D8" w:rsidRDefault="00BC27F9">
      <w:pPr>
        <w:ind w:left="12" w:right="13"/>
      </w:pPr>
      <w:r>
        <w:t xml:space="preserve">The purpose of Adult Education in Idaho is to enable eligible providers that receive grants under the program to create local partnerships to provide adult education and literacy activities that: </w:t>
      </w:r>
    </w:p>
    <w:p w14:paraId="18A49C68" w14:textId="77777777" w:rsidR="00D647D8" w:rsidRDefault="00BC27F9">
      <w:pPr>
        <w:numPr>
          <w:ilvl w:val="0"/>
          <w:numId w:val="3"/>
        </w:numPr>
        <w:ind w:right="13" w:hanging="360"/>
      </w:pPr>
      <w:r>
        <w:t>Assist adults to become literate and obtain the knowledge and skills necessary for employment and economic self-sufficiency;</w:t>
      </w:r>
    </w:p>
    <w:p w14:paraId="7E10FF25" w14:textId="77777777" w:rsidR="00D647D8" w:rsidRDefault="00BC27F9">
      <w:pPr>
        <w:numPr>
          <w:ilvl w:val="0"/>
          <w:numId w:val="3"/>
        </w:numPr>
        <w:ind w:right="13" w:hanging="360"/>
      </w:pPr>
      <w:r>
        <w:t>Assist adults who are parents or family members to obtain the education and skills that</w:t>
      </w:r>
    </w:p>
    <w:p w14:paraId="6D1933F1" w14:textId="77777777" w:rsidR="00D647D8" w:rsidRDefault="00BC27F9">
      <w:pPr>
        <w:numPr>
          <w:ilvl w:val="1"/>
          <w:numId w:val="3"/>
        </w:numPr>
        <w:ind w:right="13" w:hanging="360"/>
      </w:pPr>
      <w:r>
        <w:t>Are necessary to becoming full partners in the educational development of their children;</w:t>
      </w:r>
    </w:p>
    <w:p w14:paraId="7AEAA08E" w14:textId="77777777" w:rsidR="00D647D8" w:rsidRDefault="00BC27F9">
      <w:pPr>
        <w:numPr>
          <w:ilvl w:val="1"/>
          <w:numId w:val="3"/>
        </w:numPr>
        <w:ind w:right="13" w:hanging="360"/>
      </w:pPr>
      <w:r>
        <w:t>Lead to sustainable improvements in the economic opportunities for their family;</w:t>
      </w:r>
    </w:p>
    <w:p w14:paraId="161E591B" w14:textId="77777777" w:rsidR="00D647D8" w:rsidRDefault="00BC27F9">
      <w:pPr>
        <w:numPr>
          <w:ilvl w:val="0"/>
          <w:numId w:val="3"/>
        </w:numPr>
        <w:ind w:right="13" w:hanging="360"/>
      </w:pPr>
      <w:r>
        <w:t>Assist adults in attaining a secondary school diploma and in the transition to postsecondary education and training, including through career pathways;</w:t>
      </w:r>
    </w:p>
    <w:p w14:paraId="254D1B7B" w14:textId="77777777" w:rsidR="00D647D8" w:rsidRDefault="00BC27F9">
      <w:pPr>
        <w:numPr>
          <w:ilvl w:val="0"/>
          <w:numId w:val="3"/>
        </w:numPr>
        <w:ind w:right="13" w:hanging="360"/>
      </w:pPr>
      <w:r>
        <w:t>Assist immigrants and other individuals who are English language learners in</w:t>
      </w:r>
    </w:p>
    <w:p w14:paraId="1A23F9C7" w14:textId="77777777" w:rsidR="00D647D8" w:rsidRDefault="00BC27F9">
      <w:pPr>
        <w:numPr>
          <w:ilvl w:val="1"/>
          <w:numId w:val="3"/>
        </w:numPr>
        <w:ind w:right="13" w:hanging="360"/>
      </w:pPr>
      <w:r>
        <w:t>Improving their</w:t>
      </w:r>
    </w:p>
    <w:p w14:paraId="713214B1" w14:textId="77777777" w:rsidR="00D647D8" w:rsidRDefault="00BC27F9">
      <w:pPr>
        <w:ind w:left="2007" w:right="178"/>
      </w:pPr>
      <w:r>
        <w:t>i. Reading, writing, speaking, and comprehension skills in English; and ii. Mathematics skills; and</w:t>
      </w:r>
    </w:p>
    <w:p w14:paraId="2950BC7E" w14:textId="77777777" w:rsidR="00D647D8" w:rsidRDefault="00BC27F9">
      <w:pPr>
        <w:numPr>
          <w:ilvl w:val="1"/>
          <w:numId w:val="3"/>
        </w:numPr>
        <w:ind w:right="13" w:hanging="360"/>
      </w:pPr>
      <w:r>
        <w:t>Acquiring an understanding of the American system of government, individual freedom, and the responsibilities of citizenship; and</w:t>
      </w:r>
    </w:p>
    <w:p w14:paraId="195C00B9" w14:textId="77777777" w:rsidR="00D647D8" w:rsidRDefault="00BC27F9">
      <w:pPr>
        <w:numPr>
          <w:ilvl w:val="0"/>
          <w:numId w:val="3"/>
        </w:numPr>
        <w:spacing w:after="332"/>
        <w:ind w:right="13" w:hanging="360"/>
      </w:pPr>
      <w:r>
        <w:t>Provide educational programs for criminal offenders in correctional institutions and for other institutionalized individuals who are likely to leave the correctional facility within five years of participation in the program.</w:t>
      </w:r>
    </w:p>
    <w:p w14:paraId="79946F9A" w14:textId="77777777" w:rsidR="00D647D8" w:rsidRDefault="00BC27F9">
      <w:pPr>
        <w:pStyle w:val="Heading2"/>
        <w:ind w:left="12"/>
      </w:pPr>
      <w:r>
        <w:lastRenderedPageBreak/>
        <w:t xml:space="preserve">Application Overview &amp; Guidance </w:t>
      </w:r>
    </w:p>
    <w:p w14:paraId="4E8A6234" w14:textId="77777777" w:rsidR="00D647D8" w:rsidRDefault="00BC27F9">
      <w:pPr>
        <w:spacing w:after="241"/>
        <w:ind w:left="12" w:right="13"/>
      </w:pPr>
      <w:r>
        <w:t xml:space="preserve">To receive Federal and State funds for Adult Education, each program must submit an annual grant renewal application to the State Division of Career Technical Education. A separate narrative and budget must be submitted for each funding source and applicable project. The instructions below provide further information about the various parts of the extension application. </w:t>
      </w:r>
    </w:p>
    <w:p w14:paraId="2DE63717" w14:textId="77777777" w:rsidR="00D647D8" w:rsidRDefault="00BC27F9">
      <w:pPr>
        <w:spacing w:after="266"/>
        <w:ind w:left="12" w:right="13"/>
      </w:pPr>
      <w:r>
        <w:t xml:space="preserve">A separate packet should be completed for each grant (Section 225, Section 231, Section 243). A complete application packet will consist of the following application elements uploaded to ShareFile: </w:t>
      </w:r>
    </w:p>
    <w:p w14:paraId="73DC2ACB" w14:textId="77777777" w:rsidR="00D647D8" w:rsidRDefault="00BC27F9">
      <w:pPr>
        <w:numPr>
          <w:ilvl w:val="0"/>
          <w:numId w:val="4"/>
        </w:numPr>
        <w:spacing w:after="136"/>
        <w:ind w:left="744" w:right="13" w:hanging="361"/>
      </w:pPr>
      <w:r>
        <w:t>Grant Renewal Application Cover Document: Specifies who is applying and provides grantee contact information.</w:t>
      </w:r>
    </w:p>
    <w:p w14:paraId="6062ABD9" w14:textId="00FAB29F" w:rsidR="00D647D8" w:rsidRDefault="00BC27F9">
      <w:pPr>
        <w:numPr>
          <w:ilvl w:val="0"/>
          <w:numId w:val="4"/>
        </w:numPr>
        <w:spacing w:after="137"/>
        <w:ind w:left="744" w:right="13" w:hanging="361"/>
      </w:pPr>
      <w:r>
        <w:t xml:space="preserve">Grant Renewal Application Narrative: Provides </w:t>
      </w:r>
      <w:r w:rsidR="1A27273A">
        <w:t>details</w:t>
      </w:r>
      <w:r>
        <w:t xml:space="preserve"> regarding grant activities and performance strategies for the services you intend to offer in the new grant period. A separate narrative document is provided for each applicable section (225, 231, 243).</w:t>
      </w:r>
    </w:p>
    <w:p w14:paraId="446798A5" w14:textId="77777777" w:rsidR="00D647D8" w:rsidRDefault="00BC27F9">
      <w:pPr>
        <w:numPr>
          <w:ilvl w:val="0"/>
          <w:numId w:val="4"/>
        </w:numPr>
        <w:spacing w:after="49"/>
        <w:ind w:left="744" w:right="13" w:hanging="361"/>
      </w:pPr>
      <w:r>
        <w:t xml:space="preserve">Grant Renewal Application Budgets: Demonstrates how funds will be spent to carry out the proposed activities. </w:t>
      </w:r>
      <w:r>
        <w:rPr>
          <w:i/>
        </w:rPr>
        <w:t>Please use the provided Excel template to complete and print your project budgets</w:t>
      </w:r>
    </w:p>
    <w:p w14:paraId="5557D299" w14:textId="77777777" w:rsidR="00D647D8" w:rsidRDefault="00BC27F9">
      <w:pPr>
        <w:numPr>
          <w:ilvl w:val="0"/>
          <w:numId w:val="4"/>
        </w:numPr>
        <w:spacing w:after="250"/>
        <w:ind w:left="744" w:right="13" w:hanging="361"/>
      </w:pPr>
      <w:r>
        <w:t>Grant Renewal Application Assurances: By signing these, the grantee assures and certifies that they meet certain standards and will conform with applicable statutes, regulations, and policies.</w:t>
      </w:r>
    </w:p>
    <w:p w14:paraId="25371D90" w14:textId="00468C16" w:rsidR="00D647D8" w:rsidRDefault="00BC27F9">
      <w:pPr>
        <w:numPr>
          <w:ilvl w:val="0"/>
          <w:numId w:val="4"/>
        </w:numPr>
        <w:spacing w:after="137"/>
        <w:ind w:left="744" w:right="13" w:hanging="361"/>
      </w:pPr>
      <w:r>
        <w:t>Renewing grantee’s FY 202</w:t>
      </w:r>
      <w:r w:rsidR="22A636AA">
        <w:t>6</w:t>
      </w:r>
      <w:r>
        <w:t>-202</w:t>
      </w:r>
      <w:r w:rsidR="0482DA89">
        <w:t>7</w:t>
      </w:r>
      <w:r>
        <w:t xml:space="preserve"> Intake Form: Demonstrates that the grantee is complying with State and Federal requirements for data collection and determination of participant eligibility.</w:t>
      </w:r>
    </w:p>
    <w:p w14:paraId="4E75D8F4" w14:textId="77777777" w:rsidR="00D647D8" w:rsidRDefault="00BC27F9">
      <w:pPr>
        <w:numPr>
          <w:ilvl w:val="0"/>
          <w:numId w:val="4"/>
        </w:numPr>
        <w:spacing w:after="137"/>
        <w:ind w:left="744" w:right="13" w:hanging="361"/>
      </w:pPr>
      <w:r>
        <w:t>Renewing grantee’s New or Renewed MOUs: Informs the State regarding partnerships critical to delivery of services outlined in the narrative.</w:t>
      </w:r>
    </w:p>
    <w:p w14:paraId="1A10F8F6" w14:textId="03BCD492" w:rsidR="00D647D8" w:rsidRDefault="00BC27F9">
      <w:pPr>
        <w:numPr>
          <w:ilvl w:val="0"/>
          <w:numId w:val="4"/>
        </w:numPr>
        <w:spacing w:after="134"/>
        <w:ind w:left="744" w:right="13" w:hanging="361"/>
      </w:pPr>
      <w:r>
        <w:t>Renewing grantee’s FY2</w:t>
      </w:r>
      <w:r w:rsidR="5A8F6442">
        <w:t>6</w:t>
      </w:r>
      <w:r>
        <w:t xml:space="preserve"> Table 4: Demonstrates past Measurable Skills Gains by Entry Level.</w:t>
      </w:r>
    </w:p>
    <w:p w14:paraId="182BB38F" w14:textId="75912F53" w:rsidR="00D647D8" w:rsidRDefault="00BC27F9">
      <w:pPr>
        <w:numPr>
          <w:ilvl w:val="0"/>
          <w:numId w:val="4"/>
        </w:numPr>
        <w:spacing w:after="600"/>
        <w:ind w:left="744" w:right="13" w:hanging="361"/>
      </w:pPr>
      <w:r>
        <w:t>Renewing grantee’s FY2</w:t>
      </w:r>
      <w:r w:rsidR="41501B05">
        <w:t>6</w:t>
      </w:r>
      <w:r>
        <w:t xml:space="preserve"> Table 5: Demonstrates past Primary Indicators of Performance.</w:t>
      </w:r>
    </w:p>
    <w:p w14:paraId="5F9445A5" w14:textId="77777777" w:rsidR="00D647D8" w:rsidRDefault="00BC27F9">
      <w:pPr>
        <w:spacing w:after="10"/>
        <w:ind w:left="12"/>
        <w:jc w:val="both"/>
      </w:pPr>
      <w:r>
        <w:rPr>
          <w:sz w:val="24"/>
        </w:rPr>
        <w:t xml:space="preserve">Allowable Uses by Funding Source </w:t>
      </w:r>
    </w:p>
    <w:p w14:paraId="5640BCD5" w14:textId="3970FA0B" w:rsidR="00D647D8" w:rsidRDefault="00BC27F9">
      <w:pPr>
        <w:spacing w:after="242"/>
        <w:ind w:left="12" w:right="13"/>
      </w:pPr>
      <w:r>
        <w:t xml:space="preserve">When drafting your budgets, please remember that costs must be necessary, reasonable, allowable under Title II of WIOA, and supported by the </w:t>
      </w:r>
      <w:r w:rsidR="19B16A61">
        <w:t>project's</w:t>
      </w:r>
      <w:r>
        <w:t xml:space="preserve"> narrative. Costs may not be a general expense of the recipient, and no indirect expenses will be funded. All equipment purchases must have prior approval from the State Division of Career &amp; Technical Education. Approval of the annual application constitutes prior approval of equipment listed in the budget narrative. Further descriptions and definitions of allowable uses for each funding source are included below. </w:t>
      </w:r>
    </w:p>
    <w:p w14:paraId="0C9914D1" w14:textId="77777777" w:rsidR="00D647D8" w:rsidRDefault="00BC27F9">
      <w:pPr>
        <w:pStyle w:val="Heading3"/>
        <w:ind w:left="12"/>
      </w:pPr>
      <w:r>
        <w:t xml:space="preserve">State Funds </w:t>
      </w:r>
    </w:p>
    <w:p w14:paraId="67C05CCE" w14:textId="77777777" w:rsidR="00D647D8" w:rsidRDefault="00BC27F9">
      <w:pPr>
        <w:spacing w:after="241"/>
        <w:ind w:left="12" w:right="13"/>
      </w:pPr>
      <w:r>
        <w:t xml:space="preserve">State Fund allocations are pre-determined and awarded in total at the beginning of the fiscal year. They may be used for direct service and/or administrative activities. All allowable activities and costs can be included in a single project narrative and budget for State Funds. Certain costs that have previously been paid for with State Funds may not be replaced with Federal Funds, as this constitutes supplanting and may result in a loss of funding. Please contact the Division if you would like additional information regarding supplanting or applicable expenses.  </w:t>
      </w:r>
    </w:p>
    <w:p w14:paraId="59B54498" w14:textId="77777777" w:rsidR="00D647D8" w:rsidRDefault="00BC27F9">
      <w:pPr>
        <w:pStyle w:val="Heading3"/>
        <w:ind w:left="12"/>
      </w:pPr>
      <w:r>
        <w:lastRenderedPageBreak/>
        <w:t xml:space="preserve">Federal Formula Funds </w:t>
      </w:r>
    </w:p>
    <w:p w14:paraId="1A155B6E" w14:textId="77777777" w:rsidR="00D647D8" w:rsidRDefault="00BC27F9">
      <w:pPr>
        <w:spacing w:after="241"/>
        <w:ind w:left="12" w:right="13"/>
      </w:pPr>
      <w:r>
        <w:t xml:space="preserve">Federal formula funds represent no less than 82.5% of the state’s federal allocation. Federal formula funds are awarded to programs in total at the beginning of the fiscal year, with allocations determined by a performance-based funding formula. They may be used for any or all of the following: direct services (including WIOA-authorized activities), administration, and institutionalized projects. Programs who use their formula funds to support more than one of these projects must submit separate project narratives and budgets for each (i.e., one for administration, one for direct service, and/or one for institutionalized).  </w:t>
      </w:r>
    </w:p>
    <w:p w14:paraId="40614721" w14:textId="77777777" w:rsidR="00D647D8" w:rsidRDefault="00BC27F9">
      <w:pPr>
        <w:pStyle w:val="Heading3"/>
        <w:ind w:left="12"/>
      </w:pPr>
      <w:r>
        <w:t xml:space="preserve">Federal Leadership Funds </w:t>
      </w:r>
    </w:p>
    <w:p w14:paraId="6EF2915B" w14:textId="77777777" w:rsidR="00D647D8" w:rsidRDefault="00BC27F9">
      <w:pPr>
        <w:spacing w:after="241"/>
        <w:ind w:left="12" w:right="13"/>
      </w:pPr>
      <w:r>
        <w:t xml:space="preserve">Leadership Funds represent no more than 12.5% of the state’s federal allocation. Leadership funds may be used to support leadership activities authorized under Section 223 of Title II, which include: high quality professional development, training, developing and disseminating curricula, developing and piloting models for new WIOA activities, and coordinating with one-stop partners. Programs selected through the competitive grant process to receive Title II funding will be allocated a lump sum of Leadership funds at the beginning of the year. This lump sum will be used to pay for all required training activities and statewide training initiatives (listed on the WIOA Title II Program Plan). Any remaining funds can be budgeted to support discretionary training and program improvement activities at the local level.  </w:t>
      </w:r>
    </w:p>
    <w:p w14:paraId="6ABF3E20" w14:textId="77777777" w:rsidR="00D647D8" w:rsidRDefault="00BC27F9">
      <w:pPr>
        <w:pStyle w:val="Heading3"/>
        <w:ind w:left="12"/>
      </w:pPr>
      <w:r>
        <w:t xml:space="preserve">Integrated English Literacy and Civics Education (IELCE)  </w:t>
      </w:r>
    </w:p>
    <w:p w14:paraId="45BF4B62" w14:textId="7C9FEED8" w:rsidR="00D647D8" w:rsidRDefault="00BC27F9">
      <w:pPr>
        <w:spacing w:after="280"/>
        <w:ind w:left="12" w:right="13"/>
      </w:pPr>
      <w:r>
        <w:t xml:space="preserve">IELCE funds are separate set-aside funds, with the amount available to each state determined by a national formula. IELCE funds are awarded to local programs in total at the beginning of the year based on project requests. Grants will be awarded based on the availability of funds. All IELCE funds must be used in accordance with WIOA. Services provided through Section 243 must include education services that enable adult English language learners to achieve competency in the English language and acquire the basic and more advanced skills needed to function effectively as parents, workers, and citizens in the United States. Programs must include instruction in literacy and English language acquisition and instruction on the rights and responsibilities of citizenship and civic </w:t>
      </w:r>
      <w:r w:rsidR="247BAD42">
        <w:t>participation and</w:t>
      </w:r>
      <w:r>
        <w:t xml:space="preserve"> may include workforce training. Additionally, Section 243 IELCE program must provide access to integrated education and training (IET). </w:t>
      </w:r>
    </w:p>
    <w:p w14:paraId="56BBCECF" w14:textId="77777777" w:rsidR="00D647D8" w:rsidRDefault="00BC27F9">
      <w:pPr>
        <w:spacing w:after="10"/>
        <w:ind w:left="12"/>
        <w:jc w:val="both"/>
      </w:pPr>
      <w:r>
        <w:rPr>
          <w:sz w:val="24"/>
        </w:rPr>
        <w:t xml:space="preserve">Allowable Activities/Project Types </w:t>
      </w:r>
    </w:p>
    <w:p w14:paraId="7DF9BDBA" w14:textId="77777777" w:rsidR="00D647D8" w:rsidRDefault="00BC27F9">
      <w:pPr>
        <w:pStyle w:val="Heading3"/>
        <w:ind w:left="12"/>
      </w:pPr>
      <w:r>
        <w:t xml:space="preserve">Direct Services </w:t>
      </w:r>
    </w:p>
    <w:p w14:paraId="70F0834D" w14:textId="77777777" w:rsidR="00D647D8" w:rsidRDefault="00BC27F9">
      <w:pPr>
        <w:spacing w:after="241"/>
        <w:ind w:left="12" w:right="13"/>
      </w:pPr>
      <w:r>
        <w:t xml:space="preserve">Direct Services are those ongoing activities and costs associated with providing instruction to students, including the cost of instructor salaries and prep, classroom space, books, classroom supplies, assessment testing, and collecting and managing student data and LACES contracts.  Activities newly authorized under WIOA, such as workplace preparation and integrated education and training, can be (but are not required to be) considered direct service for budgeting purposes. These activities may also be budgeted as pilot projects or model development and funded as Leadership activities (per approval of the Division). Please refer to “Leadership” activities below for information about piloting or scaling new models for service delivery.  </w:t>
      </w:r>
    </w:p>
    <w:p w14:paraId="55EA0F31" w14:textId="77777777" w:rsidR="00D647D8" w:rsidRDefault="00BC27F9">
      <w:pPr>
        <w:pStyle w:val="Heading3"/>
        <w:ind w:left="12"/>
      </w:pPr>
      <w:r>
        <w:t xml:space="preserve">Administration </w:t>
      </w:r>
    </w:p>
    <w:p w14:paraId="0F55AC23" w14:textId="77777777" w:rsidR="00D647D8" w:rsidRDefault="00BC27F9">
      <w:pPr>
        <w:ind w:left="12" w:right="13"/>
      </w:pPr>
      <w:r>
        <w:t xml:space="preserve">Administrative activities include planning, management, interagency coordination, and fulfilling local One-stop infrastructure responsibilities. These activities must be directly related to the administration of activities authorized under Title II. General expenses of the recipient and indirect rates are not allowable.  </w:t>
      </w:r>
    </w:p>
    <w:p w14:paraId="64B96C51" w14:textId="77777777" w:rsidR="00D647D8" w:rsidRDefault="00BC27F9">
      <w:pPr>
        <w:ind w:left="12" w:right="13"/>
      </w:pPr>
      <w:r>
        <w:t xml:space="preserve">Administrative expenses are limited to 5% of federal formula funds. The 5% limit may be negotiated in cases where the cost limits are too restrictive to allow for adequate administration of the program. </w:t>
      </w:r>
      <w:r>
        <w:lastRenderedPageBreak/>
        <w:t xml:space="preserve">There is no cap on administrative expenses for state funds.  Contributions to the local one-stop infrastructure costs are considered administrative expenses (per proposed rule under CFR 34 </w:t>
      </w:r>
    </w:p>
    <w:p w14:paraId="387D42B5" w14:textId="77777777" w:rsidR="00D647D8" w:rsidRDefault="00BC27F9">
      <w:pPr>
        <w:ind w:left="12" w:right="13"/>
      </w:pPr>
      <w:r>
        <w:t xml:space="preserve">463.26) </w:t>
      </w:r>
    </w:p>
    <w:p w14:paraId="3874E715" w14:textId="77777777" w:rsidR="00D647D8" w:rsidRDefault="00BC27F9">
      <w:pPr>
        <w:pStyle w:val="Heading3"/>
        <w:ind w:left="12"/>
      </w:pPr>
      <w:r>
        <w:t xml:space="preserve">Institutionalized  </w:t>
      </w:r>
    </w:p>
    <w:p w14:paraId="77D1D57C" w14:textId="77777777" w:rsidR="00D647D8" w:rsidRDefault="00BC27F9">
      <w:pPr>
        <w:spacing w:after="241"/>
        <w:ind w:left="12" w:right="13"/>
      </w:pPr>
      <w:r>
        <w:t xml:space="preserve">Institutionalized activities are a subset of direct services provided specifically to criminal offenders in correctional institutions and for other institutionalized individuals. Correctional institutions means any prison; jail; reformatory; work farm; detention center; or halfway house, community–based rehabilitation center, or any other similar institution designed for the confinement or rehabilitation of criminal offenders. Because the state has limits on the amount of funds that can be used for institutionalized activities, these must be awarded and tracked as separate projects.  </w:t>
      </w:r>
    </w:p>
    <w:p w14:paraId="47F7F37A" w14:textId="77777777" w:rsidR="00D647D8" w:rsidRDefault="00BC27F9">
      <w:pPr>
        <w:pStyle w:val="Heading3"/>
        <w:ind w:left="12"/>
      </w:pPr>
      <w:r>
        <w:t xml:space="preserve">Federal Leadership  </w:t>
      </w:r>
    </w:p>
    <w:p w14:paraId="0E446BDC" w14:textId="77777777" w:rsidR="00D647D8" w:rsidRDefault="00BC27F9">
      <w:pPr>
        <w:ind w:left="12" w:right="13"/>
      </w:pPr>
      <w:r>
        <w:t xml:space="preserve">Leadership activities are those activities that enhance and improve local programs, but which are not directly related to teaching students. These would include professional development and training, developing and disseminating curricula, coordinating with one-stop partners, and developing and piloting models for new WIOA activities. (Please see Section 223 of Title II for a complete list of required and permissible leadership activities).  </w:t>
      </w:r>
    </w:p>
    <w:p w14:paraId="71EA96E8" w14:textId="77777777" w:rsidR="00D647D8" w:rsidRDefault="00BC27F9">
      <w:pPr>
        <w:ind w:left="12" w:right="13"/>
      </w:pPr>
      <w:r>
        <w:t xml:space="preserve">More information about the different types of Leadership activities the Division is prioritizing is included below:  </w:t>
      </w:r>
    </w:p>
    <w:p w14:paraId="4FAC4721" w14:textId="77777777" w:rsidR="00D647D8" w:rsidRDefault="00BC27F9">
      <w:pPr>
        <w:numPr>
          <w:ilvl w:val="0"/>
          <w:numId w:val="5"/>
        </w:numPr>
        <w:ind w:right="13" w:hanging="360"/>
      </w:pPr>
      <w:r>
        <w:t>Pilot Projects: Pilot projects for direct services are only considered leadership activities during their start-up and scaling phases. Once these activities are fully developed, they must be integrated into program operations and budgeted as ongoing direct services.</w:t>
      </w:r>
    </w:p>
    <w:p w14:paraId="1F3198C7" w14:textId="238A8BD3" w:rsidR="00D647D8" w:rsidRDefault="00BC27F9">
      <w:pPr>
        <w:numPr>
          <w:ilvl w:val="0"/>
          <w:numId w:val="5"/>
        </w:numPr>
        <w:ind w:right="13" w:hanging="360"/>
      </w:pPr>
      <w:r>
        <w:t xml:space="preserve">WIOA Planning and Training: This includes any activities or training the program must undertake in order to be ready for full WIOA implementation. It may include planning, training, and professional development for implementing new allowable activities and complying with expanded IELCE requirements. This will also include any activities related to aligning the program with Idaho’s WIOA Combined State </w:t>
      </w:r>
      <w:r w:rsidR="5A0243BB">
        <w:t>Plan and</w:t>
      </w:r>
      <w:r>
        <w:t xml:space="preserve"> coordinating with One-stop system partners and training staff for One-stop participation.</w:t>
      </w:r>
    </w:p>
    <w:p w14:paraId="4CBED153" w14:textId="77777777" w:rsidR="00D647D8" w:rsidRDefault="00BC27F9">
      <w:pPr>
        <w:numPr>
          <w:ilvl w:val="0"/>
          <w:numId w:val="5"/>
        </w:numPr>
        <w:ind w:right="13" w:hanging="360"/>
      </w:pPr>
      <w:r>
        <w:t>WIOA Data: This includes training for updated NRS guidelines, data collection and analysis, performance improvement, IMAS use, and reporting resulting from WIOA.</w:t>
      </w:r>
    </w:p>
    <w:p w14:paraId="4F713E7C" w14:textId="77777777" w:rsidR="00D647D8" w:rsidRDefault="00BC27F9">
      <w:pPr>
        <w:numPr>
          <w:ilvl w:val="0"/>
          <w:numId w:val="5"/>
        </w:numPr>
        <w:ind w:right="13" w:hanging="360"/>
      </w:pPr>
      <w:r>
        <w:t xml:space="preserve">New Teacher Induction/Mentoring: New Teacher induction activities include new teacher orientation, induction, and mentor support. Mentor support includes the time a mentor and/or mentee spends outside of his or her regular schedule, including planning, classroom observation, meetings, follow-up, and participation on the state discussion boards. Please refer to the following page for more information and ideas about successful teacher induction: </w:t>
      </w:r>
      <w:hyperlink r:id="rId10">
        <w:r>
          <w:rPr>
            <w:color w:val="0000FF"/>
            <w:u w:val="single" w:color="0000FF"/>
          </w:rPr>
          <w:t>https://lincs.ed.gov/programs/teachereffectiveness/toolkit</w:t>
        </w:r>
      </w:hyperlink>
    </w:p>
    <w:p w14:paraId="4676F303" w14:textId="77777777" w:rsidR="00D647D8" w:rsidRDefault="00BC27F9">
      <w:pPr>
        <w:numPr>
          <w:ilvl w:val="0"/>
          <w:numId w:val="5"/>
        </w:numPr>
        <w:ind w:right="13" w:hanging="360"/>
      </w:pPr>
      <w:r>
        <w:t>Local Required Training: Local programs should continue to train new staff and refresh existing staff on the state’s current processes and policies, including NRS, IMAS, and assessment. This will allow programs to continue normal operations until we implement new data processes under WIOA.</w:t>
      </w:r>
    </w:p>
    <w:p w14:paraId="5C559D5E" w14:textId="460345EF" w:rsidR="00D647D8" w:rsidRDefault="00BC27F9">
      <w:pPr>
        <w:numPr>
          <w:ilvl w:val="0"/>
          <w:numId w:val="5"/>
        </w:numPr>
        <w:ind w:right="13" w:hanging="360"/>
      </w:pPr>
      <w:r>
        <w:t xml:space="preserve">Local Training and PD: Programs may identify specific training needs designed to improve local program quality and performance. Local training would also include activities, time, and support for the local PD Coordinator. Other local training activities may include professional development activities designed to improve instruction. It may also include projects designed to improve overall program quality such </w:t>
      </w:r>
      <w:r w:rsidR="518DEBE0">
        <w:t>as</w:t>
      </w:r>
      <w:r>
        <w:t xml:space="preserve"> developing and disseminating new or enhanced </w:t>
      </w:r>
      <w:r w:rsidR="30F27FA7">
        <w:t>curriculum or</w:t>
      </w:r>
      <w:r>
        <w:t xml:space="preserve"> researching and improving specific program processes such as intake or assessment or data collection.</w:t>
      </w:r>
    </w:p>
    <w:p w14:paraId="5B8312D6" w14:textId="77777777" w:rsidR="00D647D8" w:rsidRDefault="00BC27F9">
      <w:pPr>
        <w:numPr>
          <w:ilvl w:val="0"/>
          <w:numId w:val="5"/>
        </w:numPr>
        <w:spacing w:after="447"/>
        <w:ind w:right="13" w:hanging="360"/>
      </w:pPr>
      <w:r>
        <w:t xml:space="preserve">Conferences: Conferences and similar activities can be allowable Leadership activities if they are connected to program quality and performance. These may include conferences with a specific focus on Adult Education, as well as conferences that focus on topics relevant to </w:t>
      </w:r>
      <w:r>
        <w:lastRenderedPageBreak/>
        <w:t>Adult Education such as the Workforce system, adult learning theory, rural service delivery, capacity building, vendor product training (i.e. TABE, CASAS), etc.</w:t>
      </w:r>
    </w:p>
    <w:p w14:paraId="4E7686F7" w14:textId="77777777" w:rsidR="00D647D8" w:rsidRDefault="00BC27F9">
      <w:pPr>
        <w:spacing w:after="12"/>
        <w:ind w:left="505"/>
      </w:pPr>
      <w:r>
        <w:rPr>
          <w:i/>
        </w:rPr>
        <w:t xml:space="preserve">Integrated English Literacy and Civics Education (IELCE). </w:t>
      </w:r>
    </w:p>
    <w:p w14:paraId="342488CC" w14:textId="77777777" w:rsidR="00D647D8" w:rsidRDefault="00BC27F9">
      <w:pPr>
        <w:spacing w:after="332"/>
        <w:ind w:left="12" w:right="13"/>
      </w:pPr>
      <w:r>
        <w:t xml:space="preserve">IELCE is education provided to English language learners who are adults, including professionals with degrees and credentials in their native countries that enables such adults to achieve competency in the English language and acquire the basic and more advanced skills needed to function effectively as parents, workers, and citizens in the United States. Such services shall include instruction in literacy and English language acquisition and instruction on the rights and responsibilities of citizenship &amp; civic participation, as well as include workforce training. These documents were created based on proposed regulations and may change upon release of final regulations. </w:t>
      </w:r>
    </w:p>
    <w:p w14:paraId="78A0D67E" w14:textId="77777777" w:rsidR="00D647D8" w:rsidRDefault="00BC27F9">
      <w:pPr>
        <w:pStyle w:val="Heading2"/>
        <w:ind w:left="12"/>
      </w:pPr>
      <w:r>
        <w:t xml:space="preserve">Accountability Requirements for Providers </w:t>
      </w:r>
    </w:p>
    <w:p w14:paraId="4D519E8D" w14:textId="77777777" w:rsidR="00D647D8" w:rsidRDefault="00BC27F9">
      <w:pPr>
        <w:ind w:left="12" w:right="13"/>
      </w:pPr>
      <w:r>
        <w:t xml:space="preserve">Recipients of funding under Title II of the Workforce Innovation and Opportunity Act (WIOA) are held to a high standard of accountability at both the State and Local level. The elements of accountability are outlined in this section of the appendix. All recipients are expected to understand these elements and will be asked to demonstrate their ability to uphold this level of accountability in their program.  While Adult Education is a federally funded program, the administration of funding takes place at the State level through an Eligible Agency (defined in WIOA Section 203.4). The Eligible Agency administering grant funds in Idaho is the Idaho Division of Career Technical Education (IDCTE). As the Eligible Agency, IDCTE must maintain a certain level of accountability as outlined in WIOA and the National Reporting System (described below). Local programs are expected to assist the State in this regard by maintaining a similar level of accountability.  </w:t>
      </w:r>
    </w:p>
    <w:p w14:paraId="4F3C6DF3" w14:textId="77777777" w:rsidR="00D647D8" w:rsidRDefault="00BC27F9">
      <w:pPr>
        <w:ind w:left="12" w:right="13"/>
      </w:pPr>
      <w:r>
        <w:t xml:space="preserve">As part of the accountability requirements for receiving funds, grantees are required to:  </w:t>
      </w:r>
    </w:p>
    <w:p w14:paraId="5C52DE3D" w14:textId="77777777" w:rsidR="00D647D8" w:rsidRDefault="00BC27F9">
      <w:pPr>
        <w:numPr>
          <w:ilvl w:val="0"/>
          <w:numId w:val="6"/>
        </w:numPr>
        <w:ind w:right="13" w:hanging="360"/>
      </w:pPr>
      <w:r>
        <w:t>Negotiate and achieve performance measures based on the indicators of performance described in Section 116 of WIOA,</w:t>
      </w:r>
    </w:p>
    <w:p w14:paraId="7224B7A1" w14:textId="77777777" w:rsidR="00D647D8" w:rsidRDefault="00BC27F9">
      <w:pPr>
        <w:numPr>
          <w:ilvl w:val="0"/>
          <w:numId w:val="6"/>
        </w:numPr>
        <w:ind w:right="13" w:hanging="360"/>
      </w:pPr>
      <w:r>
        <w:t>Adhere to the National Reporting System for Adult Education (NRS),</w:t>
      </w:r>
    </w:p>
    <w:p w14:paraId="05A583CB" w14:textId="77777777" w:rsidR="00D647D8" w:rsidRDefault="00BC27F9">
      <w:pPr>
        <w:numPr>
          <w:ilvl w:val="0"/>
          <w:numId w:val="6"/>
        </w:numPr>
        <w:spacing w:after="9"/>
        <w:ind w:right="13" w:hanging="360"/>
      </w:pPr>
      <w:r>
        <w:t>Adhere to Idaho’s Assessment Policy,</w:t>
      </w:r>
    </w:p>
    <w:p w14:paraId="39BDB03A" w14:textId="77777777" w:rsidR="00D647D8" w:rsidRDefault="00BC27F9">
      <w:pPr>
        <w:numPr>
          <w:ilvl w:val="0"/>
          <w:numId w:val="6"/>
        </w:numPr>
        <w:ind w:right="13" w:hanging="360"/>
      </w:pPr>
      <w:r>
        <w:t>Use the Literacy, Adult and Community Education system (LACES) online student data management system to collect and report data.</w:t>
      </w:r>
    </w:p>
    <w:p w14:paraId="3D1E84BA" w14:textId="77777777" w:rsidR="00D647D8" w:rsidRDefault="00BC27F9">
      <w:pPr>
        <w:spacing w:after="279"/>
        <w:ind w:left="12" w:right="13"/>
      </w:pPr>
      <w:r>
        <w:t xml:space="preserve">Applicants should be familiar with these aspects of accountability as they will be expected to adhere to and maintain the level of accountability set forth in all four. The Division will provide technical assistance, guidance, and training on the use of LACES, NRS, and performance accountability.  </w:t>
      </w:r>
    </w:p>
    <w:p w14:paraId="56D69D60" w14:textId="77777777" w:rsidR="00D647D8" w:rsidRDefault="00BC27F9">
      <w:pPr>
        <w:pStyle w:val="Heading3"/>
        <w:spacing w:after="0" w:line="259" w:lineRule="auto"/>
        <w:ind w:left="12"/>
      </w:pPr>
      <w:r>
        <w:rPr>
          <w:sz w:val="24"/>
        </w:rPr>
        <w:t xml:space="preserve">Performance Measures and Indicators of Performance </w:t>
      </w:r>
    </w:p>
    <w:p w14:paraId="0260427F" w14:textId="77777777" w:rsidR="00D647D8" w:rsidRDefault="00BC27F9">
      <w:pPr>
        <w:spacing w:after="241"/>
        <w:ind w:left="12" w:right="13"/>
      </w:pPr>
      <w:r>
        <w:t>Applicants must understand and adhere to</w:t>
      </w:r>
      <w:r>
        <w:rPr>
          <w:i/>
        </w:rPr>
        <w:t xml:space="preserve"> the performance accountability system</w:t>
      </w:r>
      <w:r>
        <w:t xml:space="preserve"> set forth in WIOA Section 116. The main aspect of the performance accountability system is the set of performance measures, which provide standards used to assess performance in an objective, quantifiable, and measurable way. The key elements of the WIOA performance measures are the </w:t>
      </w:r>
      <w:r>
        <w:rPr>
          <w:i/>
        </w:rPr>
        <w:t>primary indicators of performance</w:t>
      </w:r>
      <w:r>
        <w:t xml:space="preserve"> outlined in Section 116(b)(2)(A)(i). These core indicators are listed below.  </w:t>
      </w:r>
    </w:p>
    <w:p w14:paraId="41E3B4B7" w14:textId="77777777" w:rsidR="00D647D8" w:rsidRDefault="00BC27F9">
      <w:pPr>
        <w:spacing w:after="265"/>
        <w:ind w:left="12" w:right="13"/>
      </w:pPr>
      <w:r>
        <w:t xml:space="preserve">Primary Indicators of Performance: </w:t>
      </w:r>
    </w:p>
    <w:p w14:paraId="57989B43" w14:textId="77777777" w:rsidR="00D647D8" w:rsidRDefault="00BC27F9">
      <w:pPr>
        <w:numPr>
          <w:ilvl w:val="0"/>
          <w:numId w:val="7"/>
        </w:numPr>
        <w:ind w:right="13" w:hanging="588"/>
      </w:pPr>
      <w:r>
        <w:t>Employment Rate – 2nd Quarter After Exit: the percentage of program participants who are in unsubsidized employment during the second quarter after exit from the program,</w:t>
      </w:r>
    </w:p>
    <w:p w14:paraId="14892E76" w14:textId="77777777" w:rsidR="00D647D8" w:rsidRDefault="00BC27F9">
      <w:pPr>
        <w:numPr>
          <w:ilvl w:val="0"/>
          <w:numId w:val="7"/>
        </w:numPr>
        <w:ind w:right="13" w:hanging="588"/>
      </w:pPr>
      <w:r>
        <w:t>Employment Rate – 4th Quarter After Exit: the percentage of program participants who are in unsubsidized employment during the fourth quarter after exit from the program,</w:t>
      </w:r>
    </w:p>
    <w:p w14:paraId="6DC82587" w14:textId="77777777" w:rsidR="00D647D8" w:rsidRDefault="00BC27F9">
      <w:pPr>
        <w:numPr>
          <w:ilvl w:val="0"/>
          <w:numId w:val="7"/>
        </w:numPr>
        <w:ind w:right="13" w:hanging="588"/>
      </w:pPr>
      <w:r>
        <w:lastRenderedPageBreak/>
        <w:t>Median Earnings – 2nd Quarter After Exit: the median earnings of program participants who are in unsubsidized employment during the second quarter after exit from the program,</w:t>
      </w:r>
    </w:p>
    <w:p w14:paraId="3254A2E1" w14:textId="65DCF2AC" w:rsidR="00D647D8" w:rsidRDefault="00BC27F9">
      <w:pPr>
        <w:numPr>
          <w:ilvl w:val="0"/>
          <w:numId w:val="7"/>
        </w:numPr>
        <w:ind w:right="13" w:hanging="588"/>
      </w:pPr>
      <w:r>
        <w:t xml:space="preserve">Credential Attainment: the percentage of program participants who obtain a recognized postsecondary credential, or a secondary school diploma or its recognized equivalent during participation in or within 1 year after </w:t>
      </w:r>
      <w:r w:rsidR="57FD81AD">
        <w:t>exiting</w:t>
      </w:r>
      <w:r>
        <w:t xml:space="preserve"> from the program. Per clause 116(b)(2)(A)(iii), program participants who obtain a secondary school diploma or its recognized equivalent shall be included in the percentage counted as meeting the criterion under such clause only if such participants, in addition to obtaining such diploma or its recognized equivalent, have</w:t>
      </w:r>
    </w:p>
    <w:p w14:paraId="73F96EDF" w14:textId="77777777" w:rsidR="00D647D8" w:rsidRDefault="00D647D8">
      <w:pPr>
        <w:sectPr w:rsidR="00D647D8">
          <w:headerReference w:type="even" r:id="rId11"/>
          <w:headerReference w:type="default" r:id="rId12"/>
          <w:footerReference w:type="even" r:id="rId13"/>
          <w:footerReference w:type="default" r:id="rId14"/>
          <w:headerReference w:type="first" r:id="rId15"/>
          <w:footerReference w:type="first" r:id="rId16"/>
          <w:pgSz w:w="12240" w:h="15840"/>
          <w:pgMar w:top="1343" w:right="1435" w:bottom="544" w:left="1424" w:header="150" w:footer="544" w:gutter="0"/>
          <w:cols w:space="720"/>
          <w:titlePg/>
        </w:sectPr>
      </w:pPr>
    </w:p>
    <w:p w14:paraId="431F58BF" w14:textId="0A046047" w:rsidR="00D647D8" w:rsidRDefault="00BC27F9">
      <w:pPr>
        <w:ind w:left="730" w:right="13"/>
      </w:pPr>
      <w:r>
        <w:lastRenderedPageBreak/>
        <w:t xml:space="preserve">obtained or retained employment or are in an education or training program leading to a recognized postsecondary credential within 1 year after </w:t>
      </w:r>
      <w:r w:rsidR="6BA34CF5">
        <w:t>exiting</w:t>
      </w:r>
      <w:r>
        <w:t xml:space="preserve"> from the program. </w:t>
      </w:r>
    </w:p>
    <w:p w14:paraId="249C7B6B" w14:textId="77777777" w:rsidR="00D647D8" w:rsidRDefault="00BC27F9">
      <w:pPr>
        <w:numPr>
          <w:ilvl w:val="0"/>
          <w:numId w:val="7"/>
        </w:numPr>
        <w:ind w:right="13" w:hanging="588"/>
      </w:pPr>
      <w:r>
        <w:t>Measurable Skill Gains: The percentage of program participants who, during a program year, are in an education or training program that leads to a recognized postsecondary credential or employment and who are achieving measurable skill gains, defined as documented academic, technical, occupational, or other forms of progress, towards such a credential or employment. Depending on the type of education or training program, documented progress is defined as one of the following:</w:t>
      </w:r>
    </w:p>
    <w:p w14:paraId="22377E28" w14:textId="77777777" w:rsidR="00D647D8" w:rsidRDefault="00BC27F9">
      <w:pPr>
        <w:numPr>
          <w:ilvl w:val="1"/>
          <w:numId w:val="7"/>
        </w:numPr>
        <w:ind w:right="13" w:hanging="415"/>
      </w:pPr>
      <w:r>
        <w:t>Documented achievement of at least one educational functioning level of a participant who is receiving instruction below the postsecondary education level;</w:t>
      </w:r>
    </w:p>
    <w:p w14:paraId="45EF868B" w14:textId="77777777" w:rsidR="00D647D8" w:rsidRDefault="00BC27F9">
      <w:pPr>
        <w:numPr>
          <w:ilvl w:val="1"/>
          <w:numId w:val="7"/>
        </w:numPr>
        <w:spacing w:after="244"/>
        <w:ind w:right="13" w:hanging="415"/>
      </w:pPr>
      <w:r>
        <w:t>Documented attainment of a secondary school diploma or its recognized equivalent</w:t>
      </w:r>
    </w:p>
    <w:p w14:paraId="11095D50" w14:textId="77777777" w:rsidR="00D647D8" w:rsidRDefault="00BC27F9">
      <w:pPr>
        <w:spacing w:after="279"/>
        <w:ind w:left="12" w:right="13"/>
      </w:pPr>
      <w:r>
        <w:t xml:space="preserve">These core indicators are broken down further in the National Reporting System (NRS), which is explained in more depth in the section below.  Programs are measured by their success in meeting performance targets. Performance targets in Adult Education are based on the number and percent of applicable students predicted to successfully achieve each outcome, as defined in federal law, regulations, and guidance. If approved, applicants will be required to negotiate performance targets with the state in order to receive continued funding. </w:t>
      </w:r>
    </w:p>
    <w:p w14:paraId="2F4D7F3C" w14:textId="77777777" w:rsidR="00D647D8" w:rsidRDefault="00BC27F9">
      <w:pPr>
        <w:pStyle w:val="Heading3"/>
        <w:spacing w:after="0" w:line="259" w:lineRule="auto"/>
        <w:ind w:left="12"/>
      </w:pPr>
      <w:r>
        <w:rPr>
          <w:sz w:val="24"/>
        </w:rPr>
        <w:t xml:space="preserve">Supplement vs Supplant  </w:t>
      </w:r>
    </w:p>
    <w:p w14:paraId="4B16EAFA" w14:textId="79FB7085" w:rsidR="00D647D8" w:rsidRDefault="00BC27F9">
      <w:pPr>
        <w:spacing w:after="36"/>
        <w:ind w:left="-5"/>
      </w:pPr>
      <w:r>
        <w:t xml:space="preserve">The following information is intended to clarify the issue of “supplement not supplant” </w:t>
      </w:r>
      <w:r w:rsidR="77027F52">
        <w:t>in regard to</w:t>
      </w:r>
      <w:r>
        <w:t xml:space="preserve"> Idaho’s Title II grants. Federal grant funds must supplement, not supplant, state and local funds.  </w:t>
      </w:r>
    </w:p>
    <w:p w14:paraId="49414BEA" w14:textId="77777777" w:rsidR="00D647D8" w:rsidRDefault="00BC27F9">
      <w:pPr>
        <w:numPr>
          <w:ilvl w:val="0"/>
          <w:numId w:val="8"/>
        </w:numPr>
        <w:ind w:right="1228" w:hanging="360"/>
      </w:pPr>
      <w:r>
        <w:t xml:space="preserve">Supplement - Augments </w:t>
      </w:r>
      <w:r>
        <w:rPr>
          <w:rFonts w:ascii="Courier New" w:eastAsia="Courier New" w:hAnsi="Courier New" w:cs="Courier New"/>
        </w:rPr>
        <w:t xml:space="preserve">o </w:t>
      </w:r>
      <w:r>
        <w:t>The grant funds increase the overall amount of resources for a program.</w:t>
      </w:r>
    </w:p>
    <w:p w14:paraId="690A3AB4" w14:textId="77777777" w:rsidR="00D647D8" w:rsidRDefault="00BC27F9">
      <w:pPr>
        <w:numPr>
          <w:ilvl w:val="1"/>
          <w:numId w:val="8"/>
        </w:numPr>
        <w:spacing w:after="52"/>
        <w:ind w:right="13" w:hanging="360"/>
      </w:pPr>
      <w:r>
        <w:t>State and local contribution levels remain the same.</w:t>
      </w:r>
    </w:p>
    <w:p w14:paraId="487AFE68" w14:textId="77777777" w:rsidR="00D647D8" w:rsidRDefault="00BC27F9">
      <w:pPr>
        <w:numPr>
          <w:ilvl w:val="0"/>
          <w:numId w:val="8"/>
        </w:numPr>
        <w:ind w:right="1228" w:hanging="360"/>
      </w:pPr>
      <w:r>
        <w:t xml:space="preserve">Supplant – Replaces </w:t>
      </w:r>
      <w:r>
        <w:rPr>
          <w:rFonts w:ascii="Courier New" w:eastAsia="Courier New" w:hAnsi="Courier New" w:cs="Courier New"/>
        </w:rPr>
        <w:t xml:space="preserve">o </w:t>
      </w:r>
      <w:r>
        <w:t>The overall amount of resources for the program decrease.</w:t>
      </w:r>
    </w:p>
    <w:p w14:paraId="317EAEA7" w14:textId="77777777" w:rsidR="00D647D8" w:rsidRDefault="00BC27F9">
      <w:pPr>
        <w:numPr>
          <w:ilvl w:val="1"/>
          <w:numId w:val="8"/>
        </w:numPr>
        <w:ind w:right="13" w:hanging="360"/>
      </w:pPr>
      <w:r>
        <w:t>The federal grant replaces funds that would have otherwise been spent on the program in the absence of federal funds.</w:t>
      </w:r>
    </w:p>
    <w:p w14:paraId="63FF1276" w14:textId="77777777" w:rsidR="00D647D8" w:rsidRDefault="00BC27F9">
      <w:pPr>
        <w:numPr>
          <w:ilvl w:val="0"/>
          <w:numId w:val="8"/>
        </w:numPr>
        <w:ind w:right="1228" w:hanging="360"/>
      </w:pPr>
      <w:r>
        <w:t>Exceptions</w:t>
      </w:r>
    </w:p>
    <w:p w14:paraId="4B7411E2" w14:textId="77777777" w:rsidR="00D647D8" w:rsidRDefault="00BC27F9">
      <w:pPr>
        <w:numPr>
          <w:ilvl w:val="1"/>
          <w:numId w:val="8"/>
        </w:numPr>
        <w:spacing w:after="257"/>
        <w:ind w:right="13" w:hanging="360"/>
      </w:pPr>
      <w:r>
        <w:t>If the program can document that a position or service would be eliminated without using federal funds to pay. For example, if the local funds were no longer available (i.e. institution-wide budget reduction, NOT that they were spent elsewhere).</w:t>
      </w:r>
    </w:p>
    <w:p w14:paraId="3EDEDCD9" w14:textId="77777777" w:rsidR="00D647D8" w:rsidRDefault="00BC27F9">
      <w:pPr>
        <w:pStyle w:val="Heading3"/>
        <w:spacing w:after="0" w:line="259" w:lineRule="auto"/>
        <w:ind w:left="12"/>
      </w:pPr>
      <w:r>
        <w:rPr>
          <w:sz w:val="24"/>
        </w:rPr>
        <w:t xml:space="preserve">Time &amp; Effort Reporting  </w:t>
      </w:r>
    </w:p>
    <w:p w14:paraId="06CB5132" w14:textId="77777777" w:rsidR="00D647D8" w:rsidRDefault="00BC27F9">
      <w:pPr>
        <w:spacing w:after="356"/>
        <w:ind w:left="12" w:right="13"/>
      </w:pPr>
      <w:r>
        <w:t xml:space="preserve">Federal regulations under 2 CFR 200.430 require employees whose salaries are charged to a federal grant to keep time and/or effort reports to substantiate the charges.  </w:t>
      </w:r>
    </w:p>
    <w:p w14:paraId="40F68EE8" w14:textId="77777777" w:rsidR="00D647D8" w:rsidRDefault="00BC27F9">
      <w:pPr>
        <w:pStyle w:val="Heading2"/>
        <w:ind w:left="12"/>
      </w:pPr>
      <w:r>
        <w:t xml:space="preserve">Budgets </w:t>
      </w:r>
    </w:p>
    <w:p w14:paraId="4DD52668" w14:textId="0058A31F" w:rsidR="00D647D8" w:rsidRDefault="00BC27F9">
      <w:pPr>
        <w:spacing w:after="323"/>
        <w:ind w:left="12" w:right="13"/>
      </w:pPr>
      <w:r>
        <w:t xml:space="preserve">Applicants complete, sign, scan, and upload to ShareFile the appropriate Excel file for each budget. Please note that each budget template contains three tabs along the bottom. The first tab contains instructions for filling out the budget template, including instructions on calculating FTPs for salaries. The second tab contains the Budget </w:t>
      </w:r>
      <w:r w:rsidR="6C7410F7">
        <w:t>Summary,</w:t>
      </w:r>
      <w:r>
        <w:t xml:space="preserve"> and the third tab contains the Budget Narrative. The totals in the Budget Summary are calculated based on the entries into the Budget Narrative.  Once completed, programs should print both the Budget Summary and Budget Narrative. The Budget Summary should be signed, then both sheets scanned and submitted as a single attachment with the application.  </w:t>
      </w:r>
    </w:p>
    <w:p w14:paraId="052F529B" w14:textId="77777777" w:rsidR="00D647D8" w:rsidRDefault="00BC27F9">
      <w:pPr>
        <w:pStyle w:val="Heading3"/>
        <w:spacing w:after="0" w:line="259" w:lineRule="auto"/>
        <w:ind w:left="-1"/>
      </w:pPr>
      <w:r>
        <w:rPr>
          <w:i w:val="0"/>
          <w:color w:val="4F81BD"/>
          <w:sz w:val="26"/>
        </w:rPr>
        <w:lastRenderedPageBreak/>
        <w:t xml:space="preserve">Program Budget </w:t>
      </w:r>
    </w:p>
    <w:p w14:paraId="31C2607B" w14:textId="74DCCB93" w:rsidR="00D647D8" w:rsidRDefault="00BC27F9" w:rsidP="21F7987A">
      <w:pPr>
        <w:spacing w:after="414"/>
        <w:ind w:left="12" w:right="13"/>
      </w:pPr>
      <w:r>
        <w:t xml:space="preserve">Applicants should use the Excel file titled </w:t>
      </w:r>
      <w:r w:rsidRPr="21F7987A">
        <w:rPr>
          <w:i/>
          <w:iCs/>
        </w:rPr>
        <w:t>FY2</w:t>
      </w:r>
      <w:r w:rsidR="750C68A2" w:rsidRPr="21F7987A">
        <w:rPr>
          <w:i/>
          <w:iCs/>
        </w:rPr>
        <w:t>7</w:t>
      </w:r>
      <w:r w:rsidRPr="21F7987A">
        <w:rPr>
          <w:i/>
          <w:iCs/>
        </w:rPr>
        <w:t xml:space="preserve"> WIOA Program Budget</w:t>
      </w:r>
      <w:r>
        <w:t>. This budget should include any direct cost that will be applied to the grant for the purpose of carrying out program activities, such as instructor salaries, classroom materials, travel for the purpose of providing instruction, and</w:t>
      </w:r>
      <w:r w:rsidR="000AF409">
        <w:t xml:space="preserve"> </w:t>
      </w:r>
      <w:r>
        <w:t xml:space="preserve">other expenses directly related to the provision of services to eligible students. Equipment is </w:t>
      </w:r>
      <w:r w:rsidR="54276B1F">
        <w:t>allowable but</w:t>
      </w:r>
      <w:r>
        <w:t xml:space="preserve"> must meet federal guidelines. Equipment is defined as having a per-unit cost of $5,000 or more, with a useful life of at least one year. Computers and software are not considered equipment. Indirect costs may not be included in the program budget and must be included as an administrative cost. Please refer to 2 CFR Part 200.413 – Direct Costs for further detail regarding what constitutes a direct cost.  </w:t>
      </w:r>
    </w:p>
    <w:p w14:paraId="08FC25D4" w14:textId="77777777" w:rsidR="00D647D8" w:rsidRDefault="00BC27F9">
      <w:pPr>
        <w:pStyle w:val="Heading3"/>
        <w:spacing w:after="0" w:line="259" w:lineRule="auto"/>
        <w:ind w:left="-1"/>
      </w:pPr>
      <w:r>
        <w:rPr>
          <w:i w:val="0"/>
          <w:color w:val="4F81BD"/>
          <w:sz w:val="26"/>
        </w:rPr>
        <w:t xml:space="preserve">Administrative Budget </w:t>
      </w:r>
    </w:p>
    <w:p w14:paraId="4C43F302" w14:textId="1F5E3587" w:rsidR="00D647D8" w:rsidRDefault="00BC27F9">
      <w:pPr>
        <w:spacing w:after="241"/>
        <w:ind w:left="12" w:right="129"/>
      </w:pPr>
      <w:r>
        <w:t xml:space="preserve">Applicants who also wish to use grant funds to support administrative costs of the program should use the Excel file titled </w:t>
      </w:r>
      <w:r w:rsidRPr="1758BB32">
        <w:rPr>
          <w:i/>
          <w:iCs/>
        </w:rPr>
        <w:t>FY2</w:t>
      </w:r>
      <w:r w:rsidR="21DF5F61" w:rsidRPr="1758BB32">
        <w:rPr>
          <w:i/>
          <w:iCs/>
        </w:rPr>
        <w:t xml:space="preserve">7 </w:t>
      </w:r>
      <w:r w:rsidRPr="1758BB32">
        <w:rPr>
          <w:i/>
          <w:iCs/>
        </w:rPr>
        <w:t>WIOA Admin Budget</w:t>
      </w:r>
      <w:r>
        <w:t xml:space="preserve"> and include any administrative expenses associated with carrying out the proposed activities that will be charged to the grant. Administrative costs should not exceed 5% of the total grant request unless negotiated with the Idaho Division of Career Technical Education in advance. Applicants who wish to exceed the 5% cap must contact Christine Hagedorn Reilly at </w:t>
      </w:r>
      <w:r w:rsidRPr="1758BB32">
        <w:rPr>
          <w:color w:val="0000FF"/>
          <w:u w:val="single"/>
        </w:rPr>
        <w:t>christine.hagedornreilly@cte.idaho.gov</w:t>
      </w:r>
      <w:r>
        <w:t xml:space="preserve"> or (208) 605-4542 to request a waiver prior to submission.  </w:t>
      </w:r>
    </w:p>
    <w:p w14:paraId="65CE6805" w14:textId="77777777" w:rsidR="00D647D8" w:rsidRDefault="00BC27F9">
      <w:pPr>
        <w:spacing w:after="238"/>
        <w:ind w:left="12" w:right="155"/>
      </w:pPr>
      <w:r>
        <w:t xml:space="preserve">Line-item administrative costs should be directly related to administering, coordinating, and improving the activities funded in this grant, and meet the definition of direct costs, per 2 CFR Part 200.413 – Direct Costs. Administrative costs charged directly to the grant may not be recovered as indirect costs in this or other federal grants. Per WIOA Title II Sec. 233(a)(2), administrative costs include: </w:t>
      </w:r>
    </w:p>
    <w:p w14:paraId="3A796EEB" w14:textId="77777777" w:rsidR="00D647D8" w:rsidRDefault="00BC27F9">
      <w:pPr>
        <w:numPr>
          <w:ilvl w:val="0"/>
          <w:numId w:val="9"/>
        </w:numPr>
        <w:ind w:right="13" w:hanging="360"/>
      </w:pPr>
      <w:r>
        <w:t>Planning and administration;</w:t>
      </w:r>
    </w:p>
    <w:p w14:paraId="5FA104D0" w14:textId="77777777" w:rsidR="00D647D8" w:rsidRDefault="00BC27F9">
      <w:pPr>
        <w:numPr>
          <w:ilvl w:val="0"/>
          <w:numId w:val="9"/>
        </w:numPr>
        <w:ind w:right="13" w:hanging="360"/>
      </w:pPr>
      <w:r>
        <w:t>Carrying out the requirements of WIOA Sec. 116 – Performance and Accountability (i.e. data management and reporting functions, including the cost of maintaining data systems);</w:t>
      </w:r>
    </w:p>
    <w:p w14:paraId="3F42786E" w14:textId="77777777" w:rsidR="00D647D8" w:rsidRDefault="00BC27F9">
      <w:pPr>
        <w:numPr>
          <w:ilvl w:val="0"/>
          <w:numId w:val="9"/>
        </w:numPr>
        <w:ind w:right="13" w:hanging="360"/>
      </w:pPr>
      <w:r>
        <w:t>Professional development, (applicants should note that additional funds will be made available for professional development to selected providers and need not be budgeted in this application);</w:t>
      </w:r>
    </w:p>
    <w:p w14:paraId="7412D7C5" w14:textId="77777777" w:rsidR="00D647D8" w:rsidRDefault="00BC27F9">
      <w:pPr>
        <w:numPr>
          <w:ilvl w:val="0"/>
          <w:numId w:val="9"/>
        </w:numPr>
        <w:ind w:right="13" w:hanging="360"/>
      </w:pPr>
      <w:r>
        <w:t>Activities to support alignment with the state or local plan;</w:t>
      </w:r>
    </w:p>
    <w:p w14:paraId="11EC892B" w14:textId="77777777" w:rsidR="00D647D8" w:rsidRDefault="00BC27F9">
      <w:pPr>
        <w:numPr>
          <w:ilvl w:val="0"/>
          <w:numId w:val="9"/>
        </w:numPr>
        <w:ind w:right="13" w:hanging="360"/>
      </w:pPr>
      <w:r>
        <w:t>Activities that support the fulfillment of One-stop partner responsibilities (this would not include direct costs associated with providing services, but rather the administration, coordination, and planning of such activities or functions).</w:t>
      </w:r>
    </w:p>
    <w:p w14:paraId="3A56FFFA" w14:textId="77777777" w:rsidR="00D647D8" w:rsidRDefault="00BC27F9">
      <w:pPr>
        <w:spacing w:after="191"/>
        <w:ind w:left="12" w:right="13"/>
      </w:pPr>
      <w:r>
        <w:t xml:space="preserve">Indirect rates are allowed, but must be identified as such, and will contribute to the 5% administrative cap. For example, if a program is requesting $100,000, the administrative cap is $5,000. If the program includes $2,000 in indirect costs in its budget, this will count as $2,000 of the $5,000 cap.  </w:t>
      </w:r>
    </w:p>
    <w:p w14:paraId="36A6ECFE" w14:textId="77777777" w:rsidR="00D647D8" w:rsidRDefault="00BC27F9">
      <w:pPr>
        <w:spacing w:after="3921"/>
        <w:ind w:left="12" w:right="13"/>
      </w:pPr>
      <w:r>
        <w:t xml:space="preserve">Additionally, indirect rates are subject to supplanting rules. A program may not charge indirect costs to federal funds if such costs were previously paid from state or local funds.  </w:t>
      </w:r>
    </w:p>
    <w:p w14:paraId="3CDE9794" w14:textId="43B4CCBD" w:rsidR="00D647D8" w:rsidRDefault="00D647D8" w:rsidP="2DDC4E6B">
      <w:pPr>
        <w:spacing w:after="211" w:line="259" w:lineRule="auto"/>
        <w:ind w:left="10" w:right="1429"/>
        <w:jc w:val="right"/>
        <w:rPr>
          <w:rFonts w:ascii="Cambria" w:eastAsia="Cambria" w:hAnsi="Cambria" w:cs="Cambria"/>
        </w:rPr>
      </w:pPr>
    </w:p>
    <w:sectPr w:rsidR="00D647D8">
      <w:headerReference w:type="even" r:id="rId17"/>
      <w:headerReference w:type="default" r:id="rId18"/>
      <w:footerReference w:type="even" r:id="rId19"/>
      <w:footerReference w:type="default" r:id="rId20"/>
      <w:headerReference w:type="first" r:id="rId21"/>
      <w:footerReference w:type="first" r:id="rId22"/>
      <w:pgSz w:w="12240" w:h="15840"/>
      <w:pgMar w:top="1343" w:right="1451" w:bottom="544" w:left="1440" w:header="150" w:footer="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CF253" w14:textId="77777777" w:rsidR="00F367C4" w:rsidRDefault="00F367C4">
      <w:pPr>
        <w:spacing w:after="0" w:line="240" w:lineRule="auto"/>
      </w:pPr>
      <w:r>
        <w:separator/>
      </w:r>
    </w:p>
  </w:endnote>
  <w:endnote w:type="continuationSeparator" w:id="0">
    <w:p w14:paraId="708B045C" w14:textId="77777777" w:rsidR="00F367C4" w:rsidRDefault="00F36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D66AA" w14:textId="77777777" w:rsidR="00D647D8" w:rsidRDefault="00BC27F9">
    <w:pPr>
      <w:spacing w:after="0" w:line="259" w:lineRule="auto"/>
      <w:ind w:left="1296" w:firstLine="0"/>
    </w:pPr>
    <w:r>
      <w:rPr>
        <w:rFonts w:ascii="Cambria" w:eastAsia="Cambria" w:hAnsi="Cambria" w:cs="Cambria"/>
      </w:rPr>
      <w:t xml:space="preserve">Idaho WIOA Title II |Grant Application Renewal Instructions| Page </w:t>
    </w:r>
    <w:r>
      <w:fldChar w:fldCharType="begin"/>
    </w:r>
    <w:r>
      <w:instrText xml:space="preserve"> PAGE   \* MERGEFORMAT </w:instrText>
    </w:r>
    <w:r>
      <w:fldChar w:fldCharType="separate"/>
    </w:r>
    <w:r>
      <w:rPr>
        <w:rFonts w:ascii="Cambria" w:eastAsia="Cambria" w:hAnsi="Cambria" w:cs="Cambria"/>
        <w:b/>
      </w:rPr>
      <w:t>2</w:t>
    </w:r>
    <w:r>
      <w:rPr>
        <w:rFonts w:ascii="Cambria" w:eastAsia="Cambria" w:hAnsi="Cambria" w:cs="Cambria"/>
        <w:b/>
      </w:rPr>
      <w:fldChar w:fldCharType="end"/>
    </w:r>
    <w:r>
      <w:rPr>
        <w:rFonts w:ascii="Cambria" w:eastAsia="Cambria" w:hAnsi="Cambria" w:cs="Cambria"/>
      </w:rPr>
      <w:t xml:space="preserve"> of </w:t>
    </w:r>
    <w:fldSimple w:instr=" NUMPAGES   \* MERGEFORMAT ">
      <w:r>
        <w:rPr>
          <w:rFonts w:ascii="Cambria" w:eastAsia="Cambria" w:hAnsi="Cambria" w:cs="Cambria"/>
          <w:b/>
        </w:rPr>
        <w:t>8</w:t>
      </w:r>
    </w:fldSimple>
    <w:r>
      <w:rPr>
        <w:rFonts w:ascii="Cambria" w:eastAsia="Cambria" w:hAnsi="Cambria" w:cs="Cambri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A872D" w14:textId="06C16C04" w:rsidR="21F7987A" w:rsidRDefault="21F7987A" w:rsidP="21F7987A">
    <w:pPr>
      <w:pStyle w:val="Footer"/>
      <w:jc w:val="right"/>
    </w:pPr>
    <w:r>
      <w:fldChar w:fldCharType="begin"/>
    </w:r>
    <w:r>
      <w:instrText>PAGE</w:instrText>
    </w:r>
    <w:r>
      <w:fldChar w:fldCharType="separate"/>
    </w:r>
    <w:r w:rsidR="00C56DC9">
      <w:rPr>
        <w:noProof/>
      </w:rPr>
      <w:t>2</w:t>
    </w:r>
    <w:r>
      <w:fldChar w:fldCharType="end"/>
    </w:r>
  </w:p>
  <w:p w14:paraId="15D1915A" w14:textId="3D52DFD1" w:rsidR="00D647D8" w:rsidRDefault="00D647D8" w:rsidP="21F7987A">
    <w:pPr>
      <w:spacing w:after="0" w:line="259" w:lineRule="auto"/>
      <w:ind w:left="1296" w:firstLine="0"/>
      <w:rPr>
        <w:rFonts w:ascii="Cambria" w:eastAsia="Cambria" w:hAnsi="Cambria" w:cs="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0B336" w14:textId="77777777" w:rsidR="00D647D8" w:rsidRDefault="00BC27F9">
    <w:pPr>
      <w:spacing w:after="0" w:line="259" w:lineRule="auto"/>
      <w:ind w:left="1223" w:firstLine="0"/>
    </w:pPr>
    <w:r>
      <w:rPr>
        <w:rFonts w:ascii="Cambria" w:eastAsia="Cambria" w:hAnsi="Cambria" w:cs="Cambria"/>
      </w:rPr>
      <w:t xml:space="preserve">Idaho WIOA Title II |Grant Application Renewal Instructions| Page </w:t>
    </w:r>
    <w:r>
      <w:fldChar w:fldCharType="begin"/>
    </w:r>
    <w:r>
      <w:instrText xml:space="preserve"> PAGE   \* MERGEFORMAT </w:instrText>
    </w:r>
    <w:r>
      <w:fldChar w:fldCharType="separate"/>
    </w:r>
    <w:r>
      <w:rPr>
        <w:rFonts w:ascii="Cambria" w:eastAsia="Cambria" w:hAnsi="Cambria" w:cs="Cambria"/>
        <w:b/>
      </w:rPr>
      <w:t>1</w:t>
    </w:r>
    <w:r>
      <w:rPr>
        <w:rFonts w:ascii="Cambria" w:eastAsia="Cambria" w:hAnsi="Cambria" w:cs="Cambria"/>
        <w:b/>
      </w:rPr>
      <w:fldChar w:fldCharType="end"/>
    </w:r>
    <w:r>
      <w:rPr>
        <w:rFonts w:ascii="Cambria" w:eastAsia="Cambria" w:hAnsi="Cambria" w:cs="Cambria"/>
        <w:b/>
      </w:rPr>
      <w:t xml:space="preserve"> </w:t>
    </w:r>
    <w:fldSimple w:instr=" NUMPAGES   \* MERGEFORMAT ">
      <w:r>
        <w:rPr>
          <w:rFonts w:ascii="Cambria" w:eastAsia="Cambria" w:hAnsi="Cambria" w:cs="Cambria"/>
          <w:b/>
        </w:rPr>
        <w:t>8</w:t>
      </w:r>
    </w:fldSimple>
    <w:r>
      <w:rPr>
        <w:rFonts w:ascii="Cambria" w:eastAsia="Cambria" w:hAnsi="Cambria" w:cs="Cambria"/>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36B4" w14:textId="77777777" w:rsidR="00D647D8" w:rsidRDefault="00BC27F9">
    <w:pPr>
      <w:spacing w:after="0" w:line="259" w:lineRule="auto"/>
      <w:ind w:left="1206" w:firstLine="0"/>
    </w:pPr>
    <w:r>
      <w:rPr>
        <w:rFonts w:ascii="Cambria" w:eastAsia="Cambria" w:hAnsi="Cambria" w:cs="Cambria"/>
      </w:rPr>
      <w:t xml:space="preserve">Idaho WIOA Title II |Grant Application Renewal Instructions| Page </w:t>
    </w:r>
    <w:r>
      <w:fldChar w:fldCharType="begin"/>
    </w:r>
    <w:r>
      <w:instrText xml:space="preserve"> PAGE   \* MERGEFORMAT </w:instrText>
    </w:r>
    <w:r>
      <w:fldChar w:fldCharType="separate"/>
    </w:r>
    <w:r>
      <w:rPr>
        <w:rFonts w:ascii="Cambria" w:eastAsia="Cambria" w:hAnsi="Cambria" w:cs="Cambria"/>
        <w:b/>
      </w:rPr>
      <w:t>1</w:t>
    </w:r>
    <w:r>
      <w:rPr>
        <w:rFonts w:ascii="Cambria" w:eastAsia="Cambria" w:hAnsi="Cambria" w:cs="Cambria"/>
        <w:b/>
      </w:rPr>
      <w:fldChar w:fldCharType="end"/>
    </w:r>
    <w:r>
      <w:rPr>
        <w:rFonts w:ascii="Cambria" w:eastAsia="Cambria" w:hAnsi="Cambria" w:cs="Cambria"/>
        <w:b/>
      </w:rPr>
      <w:t xml:space="preserve"> </w:t>
    </w:r>
    <w:fldSimple w:instr=" NUMPAGES   \* MERGEFORMAT ">
      <w:r>
        <w:rPr>
          <w:rFonts w:ascii="Cambria" w:eastAsia="Cambria" w:hAnsi="Cambria" w:cs="Cambria"/>
          <w:b/>
        </w:rPr>
        <w:t>8</w:t>
      </w:r>
    </w:fldSimple>
    <w:r>
      <w:rPr>
        <w:rFonts w:ascii="Cambria" w:eastAsia="Cambria" w:hAnsi="Cambria" w:cs="Cambria"/>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A7329" w14:textId="3FCAB012" w:rsidR="21F7987A" w:rsidRDefault="21F7987A" w:rsidP="21F7987A">
    <w:pPr>
      <w:pStyle w:val="Footer"/>
      <w:ind w:left="17" w:firstLine="0"/>
      <w:jc w:val="right"/>
    </w:pPr>
    <w:r>
      <w:fldChar w:fldCharType="begin"/>
    </w:r>
    <w:r>
      <w:instrText>PAGE</w:instrText>
    </w:r>
    <w:r>
      <w:fldChar w:fldCharType="separate"/>
    </w:r>
    <w:r w:rsidR="00C56DC9">
      <w:rPr>
        <w:noProof/>
      </w:rPr>
      <w:t>8</w:t>
    </w:r>
    <w:r>
      <w:fldChar w:fldCharType="end"/>
    </w:r>
  </w:p>
  <w:p w14:paraId="0A705398" w14:textId="5C7B43CB" w:rsidR="00D647D8" w:rsidRDefault="00D647D8" w:rsidP="21F7987A">
    <w:pPr>
      <w:spacing w:after="0" w:line="259" w:lineRule="auto"/>
      <w:ind w:left="1206" w:firstLine="0"/>
      <w:rPr>
        <w:rFonts w:ascii="Cambria" w:eastAsia="Cambria" w:hAnsi="Cambria" w:cs="Cambria"/>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6265D" w14:textId="77777777" w:rsidR="00D647D8" w:rsidRDefault="00BC27F9">
    <w:pPr>
      <w:spacing w:after="0" w:line="259" w:lineRule="auto"/>
      <w:ind w:left="1206" w:firstLine="0"/>
    </w:pPr>
    <w:r>
      <w:rPr>
        <w:rFonts w:ascii="Cambria" w:eastAsia="Cambria" w:hAnsi="Cambria" w:cs="Cambria"/>
      </w:rPr>
      <w:t xml:space="preserve">Idaho WIOA Title II |Grant Application Renewal Instructions| Page </w:t>
    </w:r>
    <w:r>
      <w:fldChar w:fldCharType="begin"/>
    </w:r>
    <w:r>
      <w:instrText xml:space="preserve"> PAGE   \* MERGEFORMAT </w:instrText>
    </w:r>
    <w:r>
      <w:fldChar w:fldCharType="separate"/>
    </w:r>
    <w:r>
      <w:rPr>
        <w:rFonts w:ascii="Cambria" w:eastAsia="Cambria" w:hAnsi="Cambria" w:cs="Cambria"/>
        <w:b/>
      </w:rPr>
      <w:t>1</w:t>
    </w:r>
    <w:r>
      <w:rPr>
        <w:rFonts w:ascii="Cambria" w:eastAsia="Cambria" w:hAnsi="Cambria" w:cs="Cambria"/>
        <w:b/>
      </w:rPr>
      <w:fldChar w:fldCharType="end"/>
    </w:r>
    <w:r>
      <w:rPr>
        <w:rFonts w:ascii="Cambria" w:eastAsia="Cambria" w:hAnsi="Cambria" w:cs="Cambria"/>
        <w:b/>
      </w:rPr>
      <w:t xml:space="preserve"> </w:t>
    </w:r>
    <w:fldSimple w:instr=" NUMPAGES   \* MERGEFORMAT ">
      <w:r>
        <w:rPr>
          <w:rFonts w:ascii="Cambria" w:eastAsia="Cambria" w:hAnsi="Cambria" w:cs="Cambria"/>
          <w:b/>
        </w:rPr>
        <w:t>8</w:t>
      </w:r>
    </w:fldSimple>
    <w:r>
      <w:rPr>
        <w:rFonts w:ascii="Cambria" w:eastAsia="Cambria" w:hAnsi="Cambria" w:cs="Cambr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F44D8" w14:textId="77777777" w:rsidR="00F367C4" w:rsidRDefault="00F367C4">
      <w:pPr>
        <w:spacing w:after="0" w:line="240" w:lineRule="auto"/>
      </w:pPr>
      <w:r>
        <w:separator/>
      </w:r>
    </w:p>
  </w:footnote>
  <w:footnote w:type="continuationSeparator" w:id="0">
    <w:p w14:paraId="28917808" w14:textId="77777777" w:rsidR="00F367C4" w:rsidRDefault="00F36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CAF96" w14:textId="77777777" w:rsidR="00D647D8" w:rsidRDefault="00BC27F9">
    <w:pPr>
      <w:spacing w:after="0" w:line="259" w:lineRule="auto"/>
      <w:ind w:left="-1424" w:right="10805" w:firstLine="0"/>
    </w:pPr>
    <w:r>
      <w:rPr>
        <w:noProof/>
      </w:rPr>
      <w:drawing>
        <wp:anchor distT="0" distB="0" distL="114300" distR="114300" simplePos="0" relativeHeight="251658240" behindDoc="0" locked="0" layoutInCell="1" allowOverlap="0" wp14:anchorId="7D6298EE" wp14:editId="4A91E3F0">
          <wp:simplePos x="0" y="0"/>
          <wp:positionH relativeFrom="page">
            <wp:posOffset>2025650</wp:posOffset>
          </wp:positionH>
          <wp:positionV relativeFrom="page">
            <wp:posOffset>95275</wp:posOffset>
          </wp:positionV>
          <wp:extent cx="5380990" cy="72387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380990" cy="72387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B905F" w14:textId="77777777" w:rsidR="00D647D8" w:rsidRDefault="00BC27F9">
    <w:pPr>
      <w:spacing w:after="0" w:line="259" w:lineRule="auto"/>
      <w:ind w:left="-1424" w:right="10805" w:firstLine="0"/>
    </w:pPr>
    <w:r>
      <w:rPr>
        <w:noProof/>
      </w:rPr>
      <w:drawing>
        <wp:anchor distT="0" distB="0" distL="114300" distR="114300" simplePos="0" relativeHeight="251659264" behindDoc="0" locked="0" layoutInCell="1" allowOverlap="0" wp14:anchorId="59E2433B" wp14:editId="583A0E7E">
          <wp:simplePos x="0" y="0"/>
          <wp:positionH relativeFrom="page">
            <wp:posOffset>2025650</wp:posOffset>
          </wp:positionH>
          <wp:positionV relativeFrom="page">
            <wp:posOffset>95275</wp:posOffset>
          </wp:positionV>
          <wp:extent cx="5380990" cy="723875"/>
          <wp:effectExtent l="0" t="0" r="0" b="0"/>
          <wp:wrapSquare wrapText="bothSides"/>
          <wp:docPr id="1916667185" name="Picture 1916667185"/>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380990" cy="72387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B862B" w14:textId="77777777" w:rsidR="00D647D8" w:rsidRDefault="00BC27F9">
    <w:pPr>
      <w:spacing w:after="0" w:line="259" w:lineRule="auto"/>
      <w:ind w:left="-1424" w:right="10805" w:firstLine="0"/>
    </w:pPr>
    <w:r>
      <w:rPr>
        <w:noProof/>
      </w:rPr>
      <w:drawing>
        <wp:anchor distT="0" distB="0" distL="114300" distR="114300" simplePos="0" relativeHeight="251660288" behindDoc="0" locked="0" layoutInCell="1" allowOverlap="0" wp14:anchorId="464ACC5E" wp14:editId="3E8F0EC3">
          <wp:simplePos x="0" y="0"/>
          <wp:positionH relativeFrom="page">
            <wp:posOffset>2025650</wp:posOffset>
          </wp:positionH>
          <wp:positionV relativeFrom="page">
            <wp:posOffset>95275</wp:posOffset>
          </wp:positionV>
          <wp:extent cx="5380990" cy="723875"/>
          <wp:effectExtent l="0" t="0" r="0" b="0"/>
          <wp:wrapSquare wrapText="bothSides"/>
          <wp:docPr id="563693263" name="Picture 563693263"/>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380990" cy="72387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3EE8F" w14:textId="77777777" w:rsidR="00D647D8" w:rsidRDefault="00BC27F9">
    <w:pPr>
      <w:spacing w:after="0" w:line="259" w:lineRule="auto"/>
      <w:ind w:left="-1440" w:right="10789" w:firstLine="0"/>
    </w:pPr>
    <w:r>
      <w:rPr>
        <w:noProof/>
      </w:rPr>
      <w:drawing>
        <wp:anchor distT="0" distB="0" distL="114300" distR="114300" simplePos="0" relativeHeight="251661312" behindDoc="0" locked="0" layoutInCell="1" allowOverlap="0" wp14:anchorId="113615CD" wp14:editId="62EF0D79">
          <wp:simplePos x="0" y="0"/>
          <wp:positionH relativeFrom="page">
            <wp:posOffset>2025650</wp:posOffset>
          </wp:positionH>
          <wp:positionV relativeFrom="page">
            <wp:posOffset>95275</wp:posOffset>
          </wp:positionV>
          <wp:extent cx="5380990" cy="723875"/>
          <wp:effectExtent l="0" t="0" r="0" b="0"/>
          <wp:wrapSquare wrapText="bothSides"/>
          <wp:docPr id="132862481" name="Picture 13286248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380990" cy="72387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84391" w14:textId="77777777" w:rsidR="00D647D8" w:rsidRDefault="00BC27F9">
    <w:pPr>
      <w:spacing w:after="0" w:line="259" w:lineRule="auto"/>
      <w:ind w:left="-1440" w:right="10789" w:firstLine="0"/>
    </w:pPr>
    <w:r>
      <w:rPr>
        <w:noProof/>
      </w:rPr>
      <w:drawing>
        <wp:anchor distT="0" distB="0" distL="114300" distR="114300" simplePos="0" relativeHeight="251662336" behindDoc="0" locked="0" layoutInCell="1" allowOverlap="0" wp14:anchorId="07E4B70C" wp14:editId="6C4F03E6">
          <wp:simplePos x="0" y="0"/>
          <wp:positionH relativeFrom="page">
            <wp:posOffset>2025650</wp:posOffset>
          </wp:positionH>
          <wp:positionV relativeFrom="page">
            <wp:posOffset>95275</wp:posOffset>
          </wp:positionV>
          <wp:extent cx="5380990" cy="723875"/>
          <wp:effectExtent l="0" t="0" r="0" b="0"/>
          <wp:wrapSquare wrapText="bothSides"/>
          <wp:docPr id="739562507" name="Picture 73956250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380990" cy="723875"/>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7DB43" w14:textId="77777777" w:rsidR="00D647D8" w:rsidRDefault="00BC27F9">
    <w:pPr>
      <w:spacing w:after="0" w:line="259" w:lineRule="auto"/>
      <w:ind w:left="-1440" w:right="10789" w:firstLine="0"/>
    </w:pPr>
    <w:r>
      <w:rPr>
        <w:noProof/>
      </w:rPr>
      <w:drawing>
        <wp:anchor distT="0" distB="0" distL="114300" distR="114300" simplePos="0" relativeHeight="251663360" behindDoc="0" locked="0" layoutInCell="1" allowOverlap="0" wp14:anchorId="2E5585C4" wp14:editId="21F989BF">
          <wp:simplePos x="0" y="0"/>
          <wp:positionH relativeFrom="page">
            <wp:posOffset>2025650</wp:posOffset>
          </wp:positionH>
          <wp:positionV relativeFrom="page">
            <wp:posOffset>95275</wp:posOffset>
          </wp:positionV>
          <wp:extent cx="5380990" cy="723875"/>
          <wp:effectExtent l="0" t="0" r="0" b="0"/>
          <wp:wrapSquare wrapText="bothSides"/>
          <wp:docPr id="2130845232" name="Picture 2130845232"/>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380990" cy="7238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306A"/>
    <w:multiLevelType w:val="hybridMultilevel"/>
    <w:tmpl w:val="23BC34FA"/>
    <w:lvl w:ilvl="0" w:tplc="ED6CDFA4">
      <w:start w:val="1"/>
      <w:numFmt w:val="decimal"/>
      <w:lvlText w:val="%1."/>
      <w:lvlJc w:val="left"/>
      <w:pPr>
        <w:ind w:left="737"/>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1" w:tplc="540816F2">
      <w:start w:val="1"/>
      <w:numFmt w:val="lowerLetter"/>
      <w:lvlText w:val="%2."/>
      <w:lvlJc w:val="left"/>
      <w:pPr>
        <w:ind w:left="119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2" w:tplc="A246C88C">
      <w:start w:val="1"/>
      <w:numFmt w:val="lowerRoman"/>
      <w:lvlText w:val="%3"/>
      <w:lvlJc w:val="left"/>
      <w:pPr>
        <w:ind w:left="1894"/>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3" w:tplc="38FA1ABC">
      <w:start w:val="1"/>
      <w:numFmt w:val="decimal"/>
      <w:lvlText w:val="%4"/>
      <w:lvlJc w:val="left"/>
      <w:pPr>
        <w:ind w:left="2614"/>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4" w:tplc="E8B4BE9C">
      <w:start w:val="1"/>
      <w:numFmt w:val="lowerLetter"/>
      <w:lvlText w:val="%5"/>
      <w:lvlJc w:val="left"/>
      <w:pPr>
        <w:ind w:left="3334"/>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5" w:tplc="11DA4760">
      <w:start w:val="1"/>
      <w:numFmt w:val="lowerRoman"/>
      <w:lvlText w:val="%6"/>
      <w:lvlJc w:val="left"/>
      <w:pPr>
        <w:ind w:left="4054"/>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6" w:tplc="8F2ACC28">
      <w:start w:val="1"/>
      <w:numFmt w:val="decimal"/>
      <w:lvlText w:val="%7"/>
      <w:lvlJc w:val="left"/>
      <w:pPr>
        <w:ind w:left="4774"/>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7" w:tplc="A3EAE7E4">
      <w:start w:val="1"/>
      <w:numFmt w:val="lowerLetter"/>
      <w:lvlText w:val="%8"/>
      <w:lvlJc w:val="left"/>
      <w:pPr>
        <w:ind w:left="5494"/>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8" w:tplc="C8723D2E">
      <w:start w:val="1"/>
      <w:numFmt w:val="lowerRoman"/>
      <w:lvlText w:val="%9"/>
      <w:lvlJc w:val="left"/>
      <w:pPr>
        <w:ind w:left="6214"/>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A5803DA"/>
    <w:multiLevelType w:val="hybridMultilevel"/>
    <w:tmpl w:val="F0EE890C"/>
    <w:lvl w:ilvl="0" w:tplc="0DD26F7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40CB2A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EAD84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5305D3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B389E5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60E7BE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6CA8D9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51068E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75EF45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AF63C30"/>
    <w:multiLevelType w:val="hybridMultilevel"/>
    <w:tmpl w:val="7E6A362A"/>
    <w:lvl w:ilvl="0" w:tplc="55446812">
      <w:start w:val="1"/>
      <w:numFmt w:val="bullet"/>
      <w:lvlText w:val="•"/>
      <w:lvlJc w:val="left"/>
      <w:pPr>
        <w:ind w:left="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9A59F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93C3E8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204C55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3E285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5C4AA7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DE2D0F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58597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AAC44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4968BD"/>
    <w:multiLevelType w:val="hybridMultilevel"/>
    <w:tmpl w:val="D9A8862E"/>
    <w:lvl w:ilvl="0" w:tplc="1A60417A">
      <w:start w:val="1"/>
      <w:numFmt w:val="bullet"/>
      <w:lvlText w:val="•"/>
      <w:lvlJc w:val="left"/>
      <w:pPr>
        <w:ind w:left="14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1744F3E">
      <w:start w:val="1"/>
      <w:numFmt w:val="bullet"/>
      <w:lvlText w:val="o"/>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A848D0C">
      <w:start w:val="1"/>
      <w:numFmt w:val="bullet"/>
      <w:lvlText w:val="▪"/>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CA440D0">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18C770">
      <w:start w:val="1"/>
      <w:numFmt w:val="bullet"/>
      <w:lvlText w:val="o"/>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DD862B2">
      <w:start w:val="1"/>
      <w:numFmt w:val="bullet"/>
      <w:lvlText w:val="▪"/>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8BEAB5C">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0E4672">
      <w:start w:val="1"/>
      <w:numFmt w:val="bullet"/>
      <w:lvlText w:val="o"/>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27A050C">
      <w:start w:val="1"/>
      <w:numFmt w:val="bullet"/>
      <w:lvlText w:val="▪"/>
      <w:lvlJc w:val="left"/>
      <w:pPr>
        <w:ind w:left="72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332256B"/>
    <w:multiLevelType w:val="hybridMultilevel"/>
    <w:tmpl w:val="7CBA5128"/>
    <w:lvl w:ilvl="0" w:tplc="BB5A0FDC">
      <w:start w:val="1"/>
      <w:numFmt w:val="decimal"/>
      <w:lvlText w:val="%1."/>
      <w:lvlJc w:val="left"/>
      <w:pPr>
        <w:ind w:left="737"/>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1" w:tplc="DD440AC2">
      <w:start w:val="1"/>
      <w:numFmt w:val="lowerLetter"/>
      <w:lvlText w:val="%2)"/>
      <w:lvlJc w:val="left"/>
      <w:pPr>
        <w:ind w:left="1457"/>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2" w:tplc="27542E02">
      <w:start w:val="1"/>
      <w:numFmt w:val="lowerRoman"/>
      <w:lvlText w:val="%3"/>
      <w:lvlJc w:val="left"/>
      <w:pPr>
        <w:ind w:left="216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3" w:tplc="895AC81C">
      <w:start w:val="1"/>
      <w:numFmt w:val="decimal"/>
      <w:lvlText w:val="%4"/>
      <w:lvlJc w:val="left"/>
      <w:pPr>
        <w:ind w:left="288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4" w:tplc="9468CBFE">
      <w:start w:val="1"/>
      <w:numFmt w:val="lowerLetter"/>
      <w:lvlText w:val="%5"/>
      <w:lvlJc w:val="left"/>
      <w:pPr>
        <w:ind w:left="360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5" w:tplc="523A0D50">
      <w:start w:val="1"/>
      <w:numFmt w:val="lowerRoman"/>
      <w:lvlText w:val="%6"/>
      <w:lvlJc w:val="left"/>
      <w:pPr>
        <w:ind w:left="432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6" w:tplc="F984FD08">
      <w:start w:val="1"/>
      <w:numFmt w:val="decimal"/>
      <w:lvlText w:val="%7"/>
      <w:lvlJc w:val="left"/>
      <w:pPr>
        <w:ind w:left="504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7" w:tplc="DAC8C8F4">
      <w:start w:val="1"/>
      <w:numFmt w:val="lowerLetter"/>
      <w:lvlText w:val="%8"/>
      <w:lvlJc w:val="left"/>
      <w:pPr>
        <w:ind w:left="576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8" w:tplc="F6748CA6">
      <w:start w:val="1"/>
      <w:numFmt w:val="lowerRoman"/>
      <w:lvlText w:val="%9"/>
      <w:lvlJc w:val="left"/>
      <w:pPr>
        <w:ind w:left="648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3E0079B"/>
    <w:multiLevelType w:val="hybridMultilevel"/>
    <w:tmpl w:val="F77CFFE8"/>
    <w:lvl w:ilvl="0" w:tplc="F558BD30">
      <w:start w:val="1"/>
      <w:numFmt w:val="decimal"/>
      <w:lvlText w:val="%1."/>
      <w:lvlJc w:val="left"/>
      <w:pPr>
        <w:ind w:left="743"/>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1" w:tplc="928817D8">
      <w:start w:val="1"/>
      <w:numFmt w:val="lowerLetter"/>
      <w:lvlText w:val="%2"/>
      <w:lvlJc w:val="left"/>
      <w:pPr>
        <w:ind w:left="1446"/>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2" w:tplc="F85ECECA">
      <w:start w:val="1"/>
      <w:numFmt w:val="lowerRoman"/>
      <w:lvlText w:val="%3"/>
      <w:lvlJc w:val="left"/>
      <w:pPr>
        <w:ind w:left="2166"/>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3" w:tplc="C4348266">
      <w:start w:val="1"/>
      <w:numFmt w:val="decimal"/>
      <w:lvlText w:val="%4"/>
      <w:lvlJc w:val="left"/>
      <w:pPr>
        <w:ind w:left="2886"/>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4" w:tplc="FAD8BAD8">
      <w:start w:val="1"/>
      <w:numFmt w:val="lowerLetter"/>
      <w:lvlText w:val="%5"/>
      <w:lvlJc w:val="left"/>
      <w:pPr>
        <w:ind w:left="3606"/>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5" w:tplc="63D2E2A4">
      <w:start w:val="1"/>
      <w:numFmt w:val="lowerRoman"/>
      <w:lvlText w:val="%6"/>
      <w:lvlJc w:val="left"/>
      <w:pPr>
        <w:ind w:left="4326"/>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6" w:tplc="51826846">
      <w:start w:val="1"/>
      <w:numFmt w:val="decimal"/>
      <w:lvlText w:val="%7"/>
      <w:lvlJc w:val="left"/>
      <w:pPr>
        <w:ind w:left="5046"/>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7" w:tplc="ADF893E8">
      <w:start w:val="1"/>
      <w:numFmt w:val="lowerLetter"/>
      <w:lvlText w:val="%8"/>
      <w:lvlJc w:val="left"/>
      <w:pPr>
        <w:ind w:left="5766"/>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8" w:tplc="CE6CB83E">
      <w:start w:val="1"/>
      <w:numFmt w:val="lowerRoman"/>
      <w:lvlText w:val="%9"/>
      <w:lvlJc w:val="left"/>
      <w:pPr>
        <w:ind w:left="6486"/>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9936D89"/>
    <w:multiLevelType w:val="hybridMultilevel"/>
    <w:tmpl w:val="D9F2ACFA"/>
    <w:lvl w:ilvl="0" w:tplc="8CAC3E1E">
      <w:start w:val="1"/>
      <w:numFmt w:val="bullet"/>
      <w:lvlText w:val=""/>
      <w:lvlJc w:val="left"/>
      <w:pPr>
        <w:ind w:left="737"/>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1" w:tplc="79F4F812">
      <w:start w:val="1"/>
      <w:numFmt w:val="bullet"/>
      <w:lvlText w:val="o"/>
      <w:lvlJc w:val="left"/>
      <w:pPr>
        <w:ind w:left="1457"/>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2" w:tplc="951CFD44">
      <w:start w:val="1"/>
      <w:numFmt w:val="bullet"/>
      <w:lvlText w:val="▪"/>
      <w:lvlJc w:val="left"/>
      <w:pPr>
        <w:ind w:left="2177"/>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3" w:tplc="D15C2D6C">
      <w:start w:val="1"/>
      <w:numFmt w:val="bullet"/>
      <w:lvlText w:val="•"/>
      <w:lvlJc w:val="left"/>
      <w:pPr>
        <w:ind w:left="2897"/>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4" w:tplc="EC38B562">
      <w:start w:val="1"/>
      <w:numFmt w:val="bullet"/>
      <w:lvlText w:val="o"/>
      <w:lvlJc w:val="left"/>
      <w:pPr>
        <w:ind w:left="3617"/>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5" w:tplc="E6804982">
      <w:start w:val="1"/>
      <w:numFmt w:val="bullet"/>
      <w:lvlText w:val="▪"/>
      <w:lvlJc w:val="left"/>
      <w:pPr>
        <w:ind w:left="4337"/>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6" w:tplc="7DACD1D4">
      <w:start w:val="1"/>
      <w:numFmt w:val="bullet"/>
      <w:lvlText w:val="•"/>
      <w:lvlJc w:val="left"/>
      <w:pPr>
        <w:ind w:left="5057"/>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7" w:tplc="2C4A7258">
      <w:start w:val="1"/>
      <w:numFmt w:val="bullet"/>
      <w:lvlText w:val="o"/>
      <w:lvlJc w:val="left"/>
      <w:pPr>
        <w:ind w:left="5777"/>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lvl w:ilvl="8" w:tplc="14E86648">
      <w:start w:val="1"/>
      <w:numFmt w:val="bullet"/>
      <w:lvlText w:val="▪"/>
      <w:lvlJc w:val="left"/>
      <w:pPr>
        <w:ind w:left="6497"/>
      </w:pPr>
      <w:rPr>
        <w:rFonts w:ascii="Wingdings 2" w:eastAsia="Wingdings 2" w:hAnsi="Wingdings 2" w:cs="Wingdings 2"/>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38743D"/>
    <w:multiLevelType w:val="hybridMultilevel"/>
    <w:tmpl w:val="32E4E552"/>
    <w:lvl w:ilvl="0" w:tplc="061A7DB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0E707E">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24AB7C">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5A62FC70">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E6B0A572">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8E888452">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E02237FE">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82DEE420">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49E1FF8">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7AA853AC"/>
    <w:multiLevelType w:val="hybridMultilevel"/>
    <w:tmpl w:val="705E2BD8"/>
    <w:lvl w:ilvl="0" w:tplc="74E03898">
      <w:start w:val="1"/>
      <w:numFmt w:val="upperRoman"/>
      <w:lvlText w:val="%1."/>
      <w:lvlJc w:val="left"/>
      <w:pPr>
        <w:ind w:left="775"/>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1" w:tplc="A4943D4E">
      <w:start w:val="1"/>
      <w:numFmt w:val="lowerLetter"/>
      <w:lvlText w:val="%2."/>
      <w:lvlJc w:val="left"/>
      <w:pPr>
        <w:ind w:left="1495"/>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2" w:tplc="28A0E07C">
      <w:start w:val="1"/>
      <w:numFmt w:val="lowerRoman"/>
      <w:lvlText w:val="%3"/>
      <w:lvlJc w:val="left"/>
      <w:pPr>
        <w:ind w:left="216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3" w:tplc="9294C2CE">
      <w:start w:val="1"/>
      <w:numFmt w:val="decimal"/>
      <w:lvlText w:val="%4"/>
      <w:lvlJc w:val="left"/>
      <w:pPr>
        <w:ind w:left="288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4" w:tplc="EEDCEBAA">
      <w:start w:val="1"/>
      <w:numFmt w:val="lowerLetter"/>
      <w:lvlText w:val="%5"/>
      <w:lvlJc w:val="left"/>
      <w:pPr>
        <w:ind w:left="360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5" w:tplc="76DC63FA">
      <w:start w:val="1"/>
      <w:numFmt w:val="lowerRoman"/>
      <w:lvlText w:val="%6"/>
      <w:lvlJc w:val="left"/>
      <w:pPr>
        <w:ind w:left="432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6" w:tplc="EBA474F2">
      <w:start w:val="1"/>
      <w:numFmt w:val="decimal"/>
      <w:lvlText w:val="%7"/>
      <w:lvlJc w:val="left"/>
      <w:pPr>
        <w:ind w:left="504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7" w:tplc="F51841F8">
      <w:start w:val="1"/>
      <w:numFmt w:val="lowerLetter"/>
      <w:lvlText w:val="%8"/>
      <w:lvlJc w:val="left"/>
      <w:pPr>
        <w:ind w:left="576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lvl w:ilvl="8" w:tplc="2B522CF2">
      <w:start w:val="1"/>
      <w:numFmt w:val="lowerRoman"/>
      <w:lvlText w:val="%9"/>
      <w:lvlJc w:val="left"/>
      <w:pPr>
        <w:ind w:left="6480"/>
      </w:pPr>
      <w:rPr>
        <w:rFonts w:ascii="Franklin Gothic Book" w:eastAsia="Franklin Gothic Book" w:hAnsi="Franklin Gothic Book" w:cs="Franklin Gothic Book"/>
        <w:b w:val="0"/>
        <w:i w:val="0"/>
        <w:strike w:val="0"/>
        <w:dstrike w:val="0"/>
        <w:color w:val="000000"/>
        <w:sz w:val="22"/>
        <w:szCs w:val="22"/>
        <w:u w:val="none" w:color="000000"/>
        <w:bdr w:val="none" w:sz="0" w:space="0" w:color="auto"/>
        <w:shd w:val="clear" w:color="auto" w:fill="auto"/>
        <w:vertAlign w:val="baseline"/>
      </w:rPr>
    </w:lvl>
  </w:abstractNum>
  <w:num w:numId="1" w16cid:durableId="324555959">
    <w:abstractNumId w:val="6"/>
  </w:num>
  <w:num w:numId="2" w16cid:durableId="998772384">
    <w:abstractNumId w:val="0"/>
  </w:num>
  <w:num w:numId="3" w16cid:durableId="2126265976">
    <w:abstractNumId w:val="4"/>
  </w:num>
  <w:num w:numId="4" w16cid:durableId="867640750">
    <w:abstractNumId w:val="5"/>
  </w:num>
  <w:num w:numId="5" w16cid:durableId="414715049">
    <w:abstractNumId w:val="2"/>
  </w:num>
  <w:num w:numId="6" w16cid:durableId="1962608780">
    <w:abstractNumId w:val="3"/>
  </w:num>
  <w:num w:numId="7" w16cid:durableId="2107453845">
    <w:abstractNumId w:val="8"/>
  </w:num>
  <w:num w:numId="8" w16cid:durableId="1001658249">
    <w:abstractNumId w:val="7"/>
  </w:num>
  <w:num w:numId="9" w16cid:durableId="2051027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7D8"/>
    <w:rsid w:val="000AF409"/>
    <w:rsid w:val="003A21B6"/>
    <w:rsid w:val="004D3980"/>
    <w:rsid w:val="00914797"/>
    <w:rsid w:val="009459A0"/>
    <w:rsid w:val="00BC27F9"/>
    <w:rsid w:val="00BD731C"/>
    <w:rsid w:val="00C56DC9"/>
    <w:rsid w:val="00D647D8"/>
    <w:rsid w:val="00F367C4"/>
    <w:rsid w:val="00FB304C"/>
    <w:rsid w:val="02906632"/>
    <w:rsid w:val="0443CAE7"/>
    <w:rsid w:val="0482DA89"/>
    <w:rsid w:val="063C5B3B"/>
    <w:rsid w:val="068D02C3"/>
    <w:rsid w:val="08BFBEDE"/>
    <w:rsid w:val="08F4B036"/>
    <w:rsid w:val="0A11A10F"/>
    <w:rsid w:val="0C650119"/>
    <w:rsid w:val="0F631247"/>
    <w:rsid w:val="1758BB32"/>
    <w:rsid w:val="19B16A61"/>
    <w:rsid w:val="1A27273A"/>
    <w:rsid w:val="1C420B84"/>
    <w:rsid w:val="1D1F7C3E"/>
    <w:rsid w:val="1E88B2E8"/>
    <w:rsid w:val="21DF5F61"/>
    <w:rsid w:val="21F7987A"/>
    <w:rsid w:val="22A636AA"/>
    <w:rsid w:val="22A90D02"/>
    <w:rsid w:val="247BAD42"/>
    <w:rsid w:val="24AC6318"/>
    <w:rsid w:val="26E7FD0D"/>
    <w:rsid w:val="26EEEE2D"/>
    <w:rsid w:val="27635046"/>
    <w:rsid w:val="2A60FD09"/>
    <w:rsid w:val="2ABA9474"/>
    <w:rsid w:val="2B4BB842"/>
    <w:rsid w:val="2BE9BB49"/>
    <w:rsid w:val="2DDC4E6B"/>
    <w:rsid w:val="2E0241CF"/>
    <w:rsid w:val="30B5A310"/>
    <w:rsid w:val="30F27FA7"/>
    <w:rsid w:val="3212009F"/>
    <w:rsid w:val="3957FB53"/>
    <w:rsid w:val="3D8448DA"/>
    <w:rsid w:val="3F41E52A"/>
    <w:rsid w:val="3F4BB2ED"/>
    <w:rsid w:val="40F5BA7B"/>
    <w:rsid w:val="41501B05"/>
    <w:rsid w:val="43EC28A7"/>
    <w:rsid w:val="446CC50C"/>
    <w:rsid w:val="49261A0B"/>
    <w:rsid w:val="4A5FEB93"/>
    <w:rsid w:val="4E5F3210"/>
    <w:rsid w:val="518DEBE0"/>
    <w:rsid w:val="54276B1F"/>
    <w:rsid w:val="57D4087F"/>
    <w:rsid w:val="57FD81AD"/>
    <w:rsid w:val="5A0243BB"/>
    <w:rsid w:val="5A8F6442"/>
    <w:rsid w:val="5B121B95"/>
    <w:rsid w:val="5B923C49"/>
    <w:rsid w:val="5DC80390"/>
    <w:rsid w:val="600E132A"/>
    <w:rsid w:val="66152363"/>
    <w:rsid w:val="67AF8777"/>
    <w:rsid w:val="6AC2A6A3"/>
    <w:rsid w:val="6AEF9EA9"/>
    <w:rsid w:val="6B058834"/>
    <w:rsid w:val="6BA34CF5"/>
    <w:rsid w:val="6BF58B92"/>
    <w:rsid w:val="6C6CB993"/>
    <w:rsid w:val="6C7410F7"/>
    <w:rsid w:val="6FBC9C92"/>
    <w:rsid w:val="729EC8D6"/>
    <w:rsid w:val="72A0757B"/>
    <w:rsid w:val="73465AE8"/>
    <w:rsid w:val="739C2A20"/>
    <w:rsid w:val="750C68A2"/>
    <w:rsid w:val="77027F52"/>
    <w:rsid w:val="781528EF"/>
    <w:rsid w:val="7D9AB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766F3"/>
  <w15:docId w15:val="{4BC63DD9-8598-4A8F-BF60-1DBC0E549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 w:line="249" w:lineRule="auto"/>
      <w:ind w:left="27" w:hanging="10"/>
    </w:pPr>
    <w:rPr>
      <w:rFonts w:ascii="Franklin Gothic Book" w:eastAsia="Franklin Gothic Book" w:hAnsi="Franklin Gothic Book" w:cs="Franklin Gothic Book"/>
      <w:color w:val="000000"/>
      <w:sz w:val="22"/>
    </w:rPr>
  </w:style>
  <w:style w:type="paragraph" w:styleId="Heading1">
    <w:name w:val="heading 1"/>
    <w:next w:val="Normal"/>
    <w:link w:val="Heading1Char"/>
    <w:uiPriority w:val="9"/>
    <w:qFormat/>
    <w:pPr>
      <w:keepNext/>
      <w:keepLines/>
      <w:spacing w:after="383" w:line="259" w:lineRule="auto"/>
      <w:ind w:left="15"/>
      <w:jc w:val="center"/>
      <w:outlineLvl w:val="0"/>
    </w:pPr>
    <w:rPr>
      <w:rFonts w:ascii="Cambria" w:eastAsia="Cambria" w:hAnsi="Cambria" w:cs="Cambria"/>
      <w:b/>
      <w:color w:val="365F91"/>
      <w:sz w:val="36"/>
    </w:rPr>
  </w:style>
  <w:style w:type="paragraph" w:styleId="Heading2">
    <w:name w:val="heading 2"/>
    <w:next w:val="Normal"/>
    <w:link w:val="Heading2Char"/>
    <w:uiPriority w:val="9"/>
    <w:unhideWhenUsed/>
    <w:qFormat/>
    <w:pPr>
      <w:keepNext/>
      <w:keepLines/>
      <w:spacing w:after="3" w:line="259" w:lineRule="auto"/>
      <w:ind w:left="27" w:hanging="10"/>
      <w:outlineLvl w:val="1"/>
    </w:pPr>
    <w:rPr>
      <w:rFonts w:ascii="Franklin Gothic Book" w:eastAsia="Franklin Gothic Book" w:hAnsi="Franklin Gothic Book" w:cs="Franklin Gothic Book"/>
      <w:color w:val="365F91"/>
      <w:sz w:val="32"/>
    </w:rPr>
  </w:style>
  <w:style w:type="paragraph" w:styleId="Heading3">
    <w:name w:val="heading 3"/>
    <w:next w:val="Normal"/>
    <w:link w:val="Heading3Char"/>
    <w:uiPriority w:val="9"/>
    <w:unhideWhenUsed/>
    <w:qFormat/>
    <w:pPr>
      <w:keepNext/>
      <w:keepLines/>
      <w:spacing w:after="12" w:line="249" w:lineRule="auto"/>
      <w:ind w:left="27" w:hanging="10"/>
      <w:outlineLvl w:val="2"/>
    </w:pPr>
    <w:rPr>
      <w:rFonts w:ascii="Franklin Gothic Book" w:eastAsia="Franklin Gothic Book" w:hAnsi="Franklin Gothic Book" w:cs="Franklin Gothic Book"/>
      <w: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Franklin Gothic Book" w:eastAsia="Franklin Gothic Book" w:hAnsi="Franklin Gothic Book" w:cs="Franklin Gothic Book"/>
      <w:i/>
      <w:color w:val="000000"/>
      <w:sz w:val="22"/>
    </w:rPr>
  </w:style>
  <w:style w:type="character" w:customStyle="1" w:styleId="Heading2Char">
    <w:name w:val="Heading 2 Char"/>
    <w:link w:val="Heading2"/>
    <w:rPr>
      <w:rFonts w:ascii="Franklin Gothic Book" w:eastAsia="Franklin Gothic Book" w:hAnsi="Franklin Gothic Book" w:cs="Franklin Gothic Book"/>
      <w:color w:val="365F91"/>
      <w:sz w:val="32"/>
    </w:rPr>
  </w:style>
  <w:style w:type="character" w:customStyle="1" w:styleId="Heading1Char">
    <w:name w:val="Heading 1 Char"/>
    <w:link w:val="Heading1"/>
    <w:rPr>
      <w:rFonts w:ascii="Cambria" w:eastAsia="Cambria" w:hAnsi="Cambria" w:cs="Cambria"/>
      <w:b/>
      <w:color w:val="365F91"/>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uiPriority w:val="99"/>
    <w:unhideWhenUsed/>
    <w:rsid w:val="21F7987A"/>
    <w:pPr>
      <w:tabs>
        <w:tab w:val="center" w:pos="4680"/>
        <w:tab w:val="right" w:pos="9360"/>
      </w:tabs>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s://lincs.ed.gov/programs/teachereffectiveness/toolkit"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30cd09-2ac3-4cad-a6d9-be2369775210">
      <Terms xmlns="http://schemas.microsoft.com/office/infopath/2007/PartnerControls"/>
    </lcf76f155ced4ddcb4097134ff3c332f>
    <TaxCatchAll xmlns="92a12584-5af5-4422-add7-8fd783180de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76B58C2B5DFA4DA88C8C047C9B59D9" ma:contentTypeVersion="13" ma:contentTypeDescription="Create a new document." ma:contentTypeScope="" ma:versionID="6fe252a1af866409e6ecdacc7ed4b79e">
  <xsd:schema xmlns:xsd="http://www.w3.org/2001/XMLSchema" xmlns:xs="http://www.w3.org/2001/XMLSchema" xmlns:p="http://schemas.microsoft.com/office/2006/metadata/properties" xmlns:ns2="c230cd09-2ac3-4cad-a6d9-be2369775210" xmlns:ns3="92a12584-5af5-4422-add7-8fd783180dea" targetNamespace="http://schemas.microsoft.com/office/2006/metadata/properties" ma:root="true" ma:fieldsID="d49d09ab9ce7cadc6ee1287c8863d1e9" ns2:_="" ns3:_="">
    <xsd:import namespace="c230cd09-2ac3-4cad-a6d9-be2369775210"/>
    <xsd:import namespace="92a12584-5af5-4422-add7-8fd783180d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0cd09-2ac3-4cad-a6d9-be23697752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73be06-0252-4a73-bed6-ffc950a0e9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a12584-5af5-4422-add7-8fd783180de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ae05e-3c1b-49fc-b8ff-144a32be3d2e}" ma:internalName="TaxCatchAll" ma:showField="CatchAllData" ma:web="92a12584-5af5-4422-add7-8fd783180d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FC85E-9E5E-4240-AEA3-CA0934028574}">
  <ds:schemaRefs>
    <ds:schemaRef ds:uri="http://schemas.microsoft.com/office/2006/metadata/properties"/>
    <ds:schemaRef ds:uri="http://schemas.microsoft.com/office/infopath/2007/PartnerControls"/>
    <ds:schemaRef ds:uri="c230cd09-2ac3-4cad-a6d9-be2369775210"/>
    <ds:schemaRef ds:uri="92a12584-5af5-4422-add7-8fd783180dea"/>
  </ds:schemaRefs>
</ds:datastoreItem>
</file>

<file path=customXml/itemProps2.xml><?xml version="1.0" encoding="utf-8"?>
<ds:datastoreItem xmlns:ds="http://schemas.openxmlformats.org/officeDocument/2006/customXml" ds:itemID="{FB601B36-AB8B-46F1-91A8-71B1E65784CC}">
  <ds:schemaRefs>
    <ds:schemaRef ds:uri="http://schemas.microsoft.com/sharepoint/v3/contenttype/forms"/>
  </ds:schemaRefs>
</ds:datastoreItem>
</file>

<file path=customXml/itemProps3.xml><?xml version="1.0" encoding="utf-8"?>
<ds:datastoreItem xmlns:ds="http://schemas.openxmlformats.org/officeDocument/2006/customXml" ds:itemID="{BA93E185-DBEF-46AF-B88D-3EA1BCB2B096}"/>
</file>

<file path=docProps/app.xml><?xml version="1.0" encoding="utf-8"?>
<Properties xmlns="http://schemas.openxmlformats.org/officeDocument/2006/extended-properties" xmlns:vt="http://schemas.openxmlformats.org/officeDocument/2006/docPropsVTypes">
  <Template>Normal</Template>
  <TotalTime>5</TotalTime>
  <Pages>10</Pages>
  <Words>4010</Words>
  <Characters>22860</Characters>
  <Application>Microsoft Office Word</Application>
  <DocSecurity>0</DocSecurity>
  <Lines>190</Lines>
  <Paragraphs>53</Paragraphs>
  <ScaleCrop>false</ScaleCrop>
  <Company/>
  <LinksUpToDate>false</LinksUpToDate>
  <CharactersWithSpaces>26817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Josie Chancey</dc:creator>
  <cp:keywords/>
  <cp:lastModifiedBy>Christine Hagedorn Reilly</cp:lastModifiedBy>
  <cp:revision>13</cp:revision>
  <dcterms:created xsi:type="dcterms:W3CDTF">2025-05-07T18:58:00Z</dcterms:created>
  <dcterms:modified xsi:type="dcterms:W3CDTF">2026-05-13T20:00:00Z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0x0101004776B58C2B5DFA4DA88C8C047C9B59D9</vt:lpwstr>
  </property>
  <property fmtid="{D5CDD505-2E9C-101B-9397-08002B2CF9AE}" pid="3" name="MediaServiceImageTags">
    <vt:lpwstr/>
  </property>
</Properties>
</file>